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jc w:val="both"/>
        <w:textAlignment w:val="auto"/>
        <w:outlineLvl w:val="9"/>
        <w:rPr>
          <w:rFonts w:hint="eastAsia" w:ascii="方正小标宋简体" w:hAnsi="方正小标宋简体" w:eastAsia="方正小标宋简体" w:cs="方正小标宋简体"/>
          <w:sz w:val="44"/>
          <w:szCs w:val="44"/>
        </w:rPr>
      </w:pPr>
      <w:bookmarkStart w:id="1" w:name="_GoBack"/>
      <w:r>
        <w:rPr>
          <w:rFonts w:hint="eastAsia" w:ascii="方正小标宋简体" w:hAnsi="方正小标宋简体" w:eastAsia="方正小标宋简体" w:cs="方正小标宋简体"/>
          <w:sz w:val="44"/>
          <w:szCs w:val="44"/>
          <w:lang w:val="en-US" w:eastAsia="zh-CN"/>
        </w:rPr>
        <w:t>关于规范整合综合诊查、超声检查、精神治疗、放射治疗及康复类医疗服务价格项目的通知</w:t>
      </w:r>
    </w:p>
    <w:bookmarkEnd w:id="1"/>
    <w:p>
      <w:pPr>
        <w:pStyle w:val="2"/>
        <w:rPr>
          <w:rFonts w:hint="eastAsia"/>
        </w:rPr>
      </w:pPr>
    </w:p>
    <w:p>
      <w:pPr>
        <w:keepNext w:val="0"/>
        <w:keepLines w:val="0"/>
        <w:pageBreakBefore w:val="0"/>
        <w:widowControl w:val="0"/>
        <w:kinsoku/>
        <w:wordWrap/>
        <w:overflowPunct/>
        <w:topLinePunct w:val="0"/>
        <w:autoSpaceDE w:val="0"/>
        <w:autoSpaceDN/>
        <w:bidi w:val="0"/>
        <w:adjustRightInd/>
        <w:snapToGrid/>
        <w:spacing w:line="60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各县（区）医疗保障局，九华山风景区社会保障局、发展规划处，市医保中心，市属公立医疗机构：</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根据《安徽省医疗保障局关于规范整合综合诊查、超声检查、精神治疗、放射治疗及康复类医疗服务价格项目的通知》（皖医保秘〔2025〕18号）要求，对现行综合诊查、超声检查、精神治疗、放射治疗及康复类价格项目进行规范整合。现就有关事项通知如下：</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一、规范价格项目</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shd w:val="clear" w:fill="FFFFFF"/>
          <w:lang w:val="en-US" w:eastAsia="zh-CN" w:bidi="ar"/>
        </w:rPr>
        <w:t>规范整合设立</w:t>
      </w:r>
      <w:r>
        <w:rPr>
          <w:rFonts w:hint="eastAsia" w:ascii="仿宋_GB2312" w:hAnsi="仿宋_GB2312" w:eastAsia="仿宋_GB2312" w:cs="仿宋_GB2312"/>
          <w:kern w:val="2"/>
          <w:sz w:val="32"/>
          <w:szCs w:val="32"/>
          <w:lang w:val="en-US" w:eastAsia="zh-CN" w:bidi="ar"/>
        </w:rPr>
        <w:t>综合诊查类项目36项（附件1），超声检查</w:t>
      </w:r>
      <w:r>
        <w:rPr>
          <w:rFonts w:hint="eastAsia" w:ascii="仿宋_GB2312" w:hAnsi="仿宋_GB2312" w:eastAsia="仿宋_GB2312" w:cs="仿宋_GB2312"/>
          <w:kern w:val="2"/>
          <w:sz w:val="32"/>
          <w:szCs w:val="32"/>
          <w:shd w:val="clear" w:fill="FFFFFF"/>
          <w:lang w:val="en-US" w:eastAsia="zh-CN" w:bidi="ar"/>
        </w:rPr>
        <w:t>类项目13项</w:t>
      </w:r>
      <w:r>
        <w:rPr>
          <w:rFonts w:hint="eastAsia" w:ascii="仿宋_GB2312" w:hAnsi="仿宋_GB2312" w:eastAsia="仿宋_GB2312" w:cs="仿宋_GB2312"/>
          <w:kern w:val="2"/>
          <w:sz w:val="32"/>
          <w:szCs w:val="32"/>
          <w:lang w:val="en-US" w:eastAsia="zh-CN" w:bidi="ar"/>
        </w:rPr>
        <w:t>（附件2），精神治疗</w:t>
      </w:r>
      <w:r>
        <w:rPr>
          <w:rFonts w:hint="eastAsia" w:ascii="仿宋_GB2312" w:hAnsi="仿宋_GB2312" w:eastAsia="仿宋_GB2312" w:cs="仿宋_GB2312"/>
          <w:kern w:val="2"/>
          <w:sz w:val="32"/>
          <w:szCs w:val="32"/>
          <w:shd w:val="clear" w:fill="FFFFFF"/>
          <w:lang w:val="en-US" w:eastAsia="zh-CN" w:bidi="ar"/>
        </w:rPr>
        <w:t>类项目10项（附件3），放</w:t>
      </w:r>
      <w:r>
        <w:rPr>
          <w:rFonts w:hint="eastAsia" w:ascii="仿宋_GB2312" w:hAnsi="仿宋_GB2312" w:eastAsia="仿宋_GB2312" w:cs="仿宋_GB2312"/>
          <w:kern w:val="2"/>
          <w:sz w:val="32"/>
          <w:szCs w:val="32"/>
          <w:lang w:val="en-US" w:eastAsia="zh-CN" w:bidi="ar"/>
        </w:rPr>
        <w:t>射治疗</w:t>
      </w:r>
      <w:r>
        <w:rPr>
          <w:rFonts w:hint="eastAsia" w:ascii="仿宋_GB2312" w:hAnsi="仿宋_GB2312" w:eastAsia="仿宋_GB2312" w:cs="仿宋_GB2312"/>
          <w:kern w:val="2"/>
          <w:sz w:val="32"/>
          <w:szCs w:val="32"/>
          <w:shd w:val="clear" w:fill="FFFFFF"/>
          <w:lang w:val="en-US" w:eastAsia="zh-CN" w:bidi="ar"/>
        </w:rPr>
        <w:t>类项目15项（附件4），康复类项目17项（附件5）。废止我市原“救护车费”“B超常规检查”“平衡功能训练”等279个医疗服务价格项目（附件6）。整合后项目与我市原项目及《全国医疗服务项目技术规范（2023年版）》的映射关系见附件7</w:t>
      </w:r>
      <w:r>
        <w:rPr>
          <w:rFonts w:hint="eastAsia" w:ascii="仿宋_GB2312" w:hAnsi="仿宋_GB2312" w:eastAsia="仿宋_GB2312" w:cs="仿宋_GB2312"/>
          <w:kern w:val="2"/>
          <w:sz w:val="32"/>
          <w:szCs w:val="32"/>
          <w:lang w:val="en-US" w:eastAsia="zh-CN" w:bidi="ar"/>
        </w:rPr>
        <w:t>。</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二、明确医保支付范围</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一）将“住院诊查费（普通）”等62个价格项目纳入医保支付范围，其中“心理治疗（个人）”等28个项目按照甲类管理，“认知功能检查”等34个项目按照乙类管理，项目所标注价格为医保基金最高支付标准。“外照射治疗（质子放疗）”等29个项目不纳入医保支付范围。</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二）参保人员在乡镇卫生院（社区卫生服务中心）、一体化管理的行政村卫生室（社区卫生服务站）发生的一般诊疗费，医保分别按9元、7元支付（不提供智医助理减支1元），个人分别按2元、1元自付。完善一般诊疗费医保按人头付费管理，实行总额预算、分期支付、绩效评价，预算总额按上一年门急诊人次乘以一般诊疗费的人均医保支付额度，适当考虑门急诊人次增减变化后确定，并与医共体总额付费、门诊统筹按人头付费等支付方式衔接。</w:t>
      </w:r>
    </w:p>
    <w:p>
      <w:pPr>
        <w:keepNext w:val="0"/>
        <w:keepLines w:val="0"/>
        <w:pageBreakBefore w:val="0"/>
        <w:widowControl/>
        <w:suppressLineNumbers w:val="0"/>
        <w:kinsoku/>
        <w:wordWrap/>
        <w:overflowPunct/>
        <w:topLinePunct w:val="0"/>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（三）全市公立医疗机构基本医疗服务的床位费按照本通知执行，按“床位·日”计收的普通床位费医保最高支付标准为37元(床位费低于最高支付标准的，按照实际价格报销）。</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default" w:ascii="Times New Roman" w:hAnsi="Times New Roman" w:eastAsia="黑体" w:cs="Times New Roman"/>
          <w:kern w:val="2"/>
          <w:sz w:val="32"/>
          <w:szCs w:val="32"/>
        </w:rPr>
      </w:pPr>
      <w:r>
        <w:rPr>
          <w:rFonts w:hint="eastAsia" w:ascii="黑体" w:hAnsi="宋体" w:eastAsia="黑体" w:cs="黑体"/>
          <w:kern w:val="2"/>
          <w:sz w:val="32"/>
          <w:szCs w:val="32"/>
          <w:lang w:val="en-US" w:eastAsia="zh-CN" w:bidi="ar"/>
        </w:rPr>
        <w:t>三、有关要求</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（一）各</w:t>
      </w:r>
      <w:bookmarkStart w:id="0" w:name="OLE_LINK82"/>
      <w:r>
        <w:rPr>
          <w:rFonts w:hint="eastAsia" w:ascii="仿宋_GB2312" w:hAnsi="仿宋_GB2312" w:eastAsia="仿宋_GB2312" w:cs="仿宋_GB2312"/>
          <w:kern w:val="2"/>
          <w:sz w:val="32"/>
          <w:szCs w:val="32"/>
          <w:shd w:val="clear" w:fill="FFFFFF"/>
          <w:lang w:val="en-US" w:eastAsia="zh-CN" w:bidi="ar"/>
        </w:rPr>
        <w:t>有关单位要高度重视，做好部门协调，及时维护信息系统目录，指导各医疗机构做好政策落地实施。</w:t>
      </w:r>
      <w:bookmarkEnd w:id="0"/>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二）各医疗机构严格执行整合后的医疗服务价格项目，严格按照价格政策规定和临床诊疗规范向患者提供服务并收取费用，规范医疗服务价格行为，做好医疗服务项目价格公示和政策解读，落实好住院费用清单、明码标价等相关规定，自觉接受社会监督。</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600" w:lineRule="exact"/>
        <w:ind w:left="0" w:leftChars="0" w:right="0" w:firstLine="640" w:firstLineChars="2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（三）本通知自2026年4月1日起执行，既往政策与本通知规定不一致的，以本通知为准。执行中遇到问题，及时向市医保局反馈。</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640" w:firstLineChars="200"/>
        <w:jc w:val="both"/>
        <w:textAlignment w:val="auto"/>
        <w:rPr>
          <w:rFonts w:hint="default" w:ascii="Times New Roman" w:hAnsi="Times New Roman" w:eastAsia="仿宋" w:cs="Times New Roman"/>
          <w:kern w:val="2"/>
          <w:sz w:val="32"/>
          <w:szCs w:val="32"/>
        </w:rPr>
      </w:pPr>
      <w:r>
        <w:rPr>
          <w:rFonts w:hint="default" w:ascii="Times New Roman" w:hAnsi="Times New Roman" w:eastAsia="仿宋" w:cs="Times New Roman"/>
          <w:kern w:val="2"/>
          <w:sz w:val="32"/>
          <w:szCs w:val="32"/>
          <w:lang w:val="en-US" w:eastAsia="zh-CN" w:bidi="ar"/>
        </w:rPr>
        <w:t xml:space="preserve"> </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640" w:firstLineChars="2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shd w:val="clear" w:fill="FFFFFF"/>
          <w:lang w:val="en-US" w:eastAsia="zh-CN" w:bidi="ar"/>
        </w:rPr>
        <w:t xml:space="preserve">附件：1.整合后综合诊查类医疗服务价格项目表   </w:t>
      </w:r>
      <w:r>
        <w:rPr>
          <w:rFonts w:hint="eastAsia" w:ascii="仿宋_GB2312" w:hAnsi="仿宋_GB2312" w:eastAsia="仿宋_GB2312" w:cs="仿宋_GB2312"/>
          <w:kern w:val="2"/>
          <w:sz w:val="32"/>
          <w:szCs w:val="32"/>
          <w:lang w:val="en-US" w:eastAsia="zh-CN" w:bidi="ar"/>
        </w:rPr>
        <w:t xml:space="preserve"> </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shd w:val="clear" w:fill="FFFFFF"/>
          <w:lang w:val="en-US" w:eastAsia="zh-CN" w:bidi="ar"/>
        </w:rPr>
        <w:t>2.整合后超声检查类医疗服务价格项目表</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 xml:space="preserve">3.整合后精神治疗类医疗服务价格项目表      </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4.整合后放射治疗类医疗服务价格项目表</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5.整合后康复类医疗服务价格项目表</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仿宋_GB2312" w:hAnsi="仿宋_GB2312" w:eastAsia="仿宋_GB2312" w:cs="仿宋_GB2312"/>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 xml:space="preserve">6.废止医疗服务价格项目表 </w:t>
      </w:r>
    </w:p>
    <w:p>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firstLine="1600" w:firstLineChars="500"/>
        <w:jc w:val="both"/>
        <w:textAlignment w:val="auto"/>
        <w:rPr>
          <w:rFonts w:hint="eastAsia" w:ascii="Times New Roman" w:hAnsi="Times New Roman" w:eastAsia="方正仿宋_GBK" w:cs="Times New Roman"/>
          <w:kern w:val="2"/>
          <w:sz w:val="32"/>
          <w:szCs w:val="32"/>
          <w:shd w:val="clear" w:fill="FFFFFF"/>
          <w:lang w:val="en-US" w:eastAsia="zh-CN" w:bidi="ar"/>
        </w:rPr>
      </w:pPr>
      <w:r>
        <w:rPr>
          <w:rFonts w:hint="eastAsia" w:ascii="仿宋_GB2312" w:hAnsi="仿宋_GB2312" w:eastAsia="仿宋_GB2312" w:cs="仿宋_GB2312"/>
          <w:kern w:val="2"/>
          <w:sz w:val="32"/>
          <w:szCs w:val="32"/>
          <w:shd w:val="clear" w:fill="FFFFFF"/>
          <w:lang w:val="en-US" w:eastAsia="zh-CN" w:bidi="ar"/>
        </w:rPr>
        <w:t xml:space="preserve">7.整合后医疗服务价格项目映射关系表 </w:t>
      </w:r>
      <w:r>
        <w:rPr>
          <w:rFonts w:hint="default" w:ascii="Times New Roman" w:hAnsi="Times New Roman" w:eastAsia="方正仿宋_GBK" w:cs="Times New Roman"/>
          <w:kern w:val="2"/>
          <w:sz w:val="32"/>
          <w:szCs w:val="32"/>
          <w:shd w:val="clear" w:fill="FFFFFF"/>
          <w:lang w:val="en-US" w:eastAsia="zh-CN" w:bidi="ar"/>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Times New Roman" w:hAnsi="Times New Roman" w:eastAsia="仿宋_GB2312" w:cs="Times New Roman"/>
          <w:sz w:val="32"/>
          <w:szCs w:val="32"/>
        </w:rPr>
      </w:pPr>
    </w:p>
    <w:p>
      <w:pPr>
        <w:spacing w:line="600" w:lineRule="exact"/>
        <w:ind w:firstLine="640" w:firstLineChars="200"/>
        <w:rPr>
          <w:rFonts w:eastAsia="仿宋_GB2312" w:cs="Times New Roman"/>
        </w:rPr>
      </w:pPr>
    </w:p>
    <w:p>
      <w:pPr>
        <w:spacing w:line="240" w:lineRule="exact"/>
        <w:ind w:firstLine="640" w:firstLineChars="200"/>
        <w:rPr>
          <w:rFonts w:eastAsia="仿宋_GB2312" w:cs="Times New Roman"/>
        </w:rPr>
      </w:pPr>
    </w:p>
    <w:p>
      <w:pPr>
        <w:ind w:firstLine="640" w:firstLineChars="200"/>
        <w:rPr>
          <w:rFonts w:eastAsia="仿宋_GB2312" w:cs="Times New Roman"/>
        </w:rPr>
      </w:pPr>
    </w:p>
    <w:p>
      <w:pPr>
        <w:keepNext w:val="0"/>
        <w:keepLines w:val="0"/>
        <w:pageBreakBefore w:val="0"/>
        <w:widowControl w:val="0"/>
        <w:kinsoku/>
        <w:wordWrap/>
        <w:overflowPunct/>
        <w:topLinePunct w:val="0"/>
        <w:autoSpaceDE w:val="0"/>
        <w:autoSpaceDN/>
        <w:bidi w:val="0"/>
        <w:adjustRightInd/>
        <w:snapToGrid/>
        <w:spacing w:line="630" w:lineRule="exact"/>
        <w:ind w:firstLine="5120" w:firstLineChars="16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池州市</w:t>
      </w:r>
      <w:r>
        <w:rPr>
          <w:rFonts w:hint="eastAsia" w:ascii="仿宋_GB2312" w:hAnsi="仿宋_GB2312" w:eastAsia="仿宋_GB2312" w:cs="仿宋_GB2312"/>
        </w:rPr>
        <w:t>医疗保障局　　　　</w:t>
      </w:r>
    </w:p>
    <w:p>
      <w:pPr>
        <w:keepNext w:val="0"/>
        <w:keepLines w:val="0"/>
        <w:pageBreakBefore w:val="0"/>
        <w:widowControl w:val="0"/>
        <w:kinsoku/>
        <w:wordWrap/>
        <w:overflowPunct/>
        <w:topLinePunct w:val="0"/>
        <w:autoSpaceDE w:val="0"/>
        <w:autoSpaceDN/>
        <w:bidi w:val="0"/>
        <w:adjustRightInd/>
        <w:snapToGrid/>
        <w:spacing w:line="630" w:lineRule="exact"/>
        <w:ind w:firstLine="5440" w:firstLineChars="1700"/>
        <w:textAlignment w:val="auto"/>
        <w:rPr>
          <w:rFonts w:hint="eastAsia" w:ascii="仿宋_GB2312" w:hAnsi="仿宋_GB2312" w:eastAsia="仿宋_GB2312" w:cs="仿宋_GB2312"/>
        </w:rPr>
      </w:pPr>
      <w:r>
        <w:rPr>
          <w:rFonts w:hint="eastAsia" w:ascii="仿宋_GB2312" w:hAnsi="仿宋_GB2312" w:eastAsia="仿宋_GB2312" w:cs="仿宋_GB2312"/>
        </w:rPr>
        <w:t>202</w:t>
      </w:r>
      <w:r>
        <w:rPr>
          <w:rFonts w:hint="default" w:ascii="仿宋_GB2312" w:hAnsi="仿宋_GB2312" w:eastAsia="仿宋_GB2312" w:cs="仿宋_GB2312"/>
          <w:lang w:val="en-US"/>
        </w:rPr>
        <w:t>6</w:t>
      </w:r>
      <w:r>
        <w:rPr>
          <w:rFonts w:hint="eastAsia" w:ascii="仿宋_GB2312" w:hAnsi="仿宋_GB2312" w:eastAsia="仿宋_GB2312" w:cs="仿宋_GB2312"/>
        </w:rPr>
        <w:t>年</w:t>
      </w:r>
      <w:r>
        <w:rPr>
          <w:rFonts w:hint="eastAsia" w:ascii="仿宋_GB2312" w:hAnsi="仿宋_GB2312" w:eastAsia="仿宋_GB2312" w:cs="仿宋_GB2312"/>
          <w:lang w:val="en-US" w:eastAsia="zh-CN"/>
        </w:rPr>
        <w:t xml:space="preserve"> </w:t>
      </w:r>
      <w:r>
        <w:rPr>
          <w:rFonts w:hint="default" w:ascii="仿宋_GB2312" w:hAnsi="仿宋_GB2312" w:eastAsia="仿宋_GB2312" w:cs="仿宋_GB2312"/>
          <w:lang w:val="en-US" w:eastAsia="zh-CN"/>
        </w:rPr>
        <w:t>2</w:t>
      </w:r>
      <w:r>
        <w:rPr>
          <w:rFonts w:hint="eastAsia" w:ascii="仿宋_GB2312" w:hAnsi="仿宋_GB2312" w:eastAsia="仿宋_GB2312" w:cs="仿宋_GB2312"/>
        </w:rPr>
        <w:t>月</w:t>
      </w: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rPr>
        <w:t>日　　　　</w:t>
      </w:r>
    </w:p>
    <w:p>
      <w:pPr>
        <w:ind w:firstLine="640" w:firstLineChars="200"/>
        <w:rPr>
          <w:rFonts w:eastAsia="仿宋_GB2312" w:cs="Times New Roman"/>
        </w:rPr>
      </w:pPr>
    </w:p>
    <w:p>
      <w:pPr>
        <w:ind w:firstLine="640" w:firstLineChars="200"/>
        <w:rPr>
          <w:rFonts w:eastAsia="仿宋_GB2312" w:cs="Times New Roman"/>
        </w:rPr>
        <w:sectPr>
          <w:footerReference r:id="rId3" w:type="default"/>
          <w:footerReference r:id="rId4" w:type="even"/>
          <w:pgSz w:w="11906" w:h="16838"/>
          <w:pgMar w:top="1797" w:right="1440" w:bottom="1797" w:left="1502" w:header="851" w:footer="1701" w:gutter="0"/>
          <w:cols w:space="0" w:num="1"/>
          <w:docGrid w:type="lines" w:linePitch="579" w:charSpace="0"/>
        </w:sectPr>
      </w:pPr>
    </w:p>
    <w:p>
      <w:pPr>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附件1</w:t>
      </w:r>
    </w:p>
    <w:p>
      <w:pPr>
        <w:ind w:firstLine="880" w:firstLineChars="200"/>
        <w:jc w:val="center"/>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整合后综合诊查类医疗服务价格项目表</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 xml:space="preserve">使用说明：    </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3.“基本物质资源消耗”指原则上限于不应或不必要与医疗服务项目分割的易耗品，包括但不限于各类消毒用品、储存用品、清洁用品、个人防护用品、标签、垃圾处理用品、腕带、病历纸张、冲洗液、润滑剂、压舌板、滑石粉、一般物理检查器具、治疗巾（单）、棉球、棉签、纱布（垫）、普通绷带、固定带、治疗护理盘（包）、普通注射器、护（尿）垫、中单、冲洗工具、备皮工具、灌注器、输液贴、牙垫、一次性冰袋、新生儿洗浴用品、导尿管、包裹单（袋）、软件的版权、开发、购买等。基本物质资源消耗成本计入项目价格，不另行收费。</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4.“计价单位”中的“学科”划分以医院内部实际设置科室为准。</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5.“知名专家”与医师技术水平高度关联，参照国家统一评选认定的头衔或省级及以上卫生健康主管部门相关规定，如“享受国务院特殊津贴、两院院士、国医大师、国家名中医”等；不以“医学会专科分会主委、医师协会专科医师分会主委、省级卫生健康突出贡献中青年专家”等社团职务、荣誉称号作为知名专家的认定依据。</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 xml:space="preserve">6.“床位费”计入不计出，即入院当天按一天计算收费,出院当天不计算收费。日间病房床位费的收费标准同“床位费”。                                                                                                                                                                                                                                                                                              7.“儿童”指6周岁及以下。周岁的计算方法以法律的相关规定为准。   </w:t>
      </w:r>
    </w:p>
    <w:p>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rPr>
      </w:pPr>
      <w:r>
        <w:rPr>
          <w:rFonts w:hint="eastAsia" w:ascii="仿宋" w:hAnsi="仿宋" w:eastAsia="仿宋" w:cs="仿宋"/>
          <w:b w:val="0"/>
          <w:bCs w:val="0"/>
          <w:i w:val="0"/>
          <w:iCs w:val="0"/>
          <w:color w:val="auto"/>
          <w:kern w:val="0"/>
          <w:sz w:val="24"/>
          <w:szCs w:val="24"/>
          <w:u w:val="none"/>
          <w:lang w:val="en-US" w:eastAsia="zh-CN" w:bidi="ar"/>
        </w:rPr>
        <w:t xml:space="preserve">8.涉及“包括……”“……等”的，属于开放型表述，所指对象不仅局限于表述中列明的事项，也包括未列明的同类事项，以国家级技术规范、临床指南或专家共识中的明确定性为依据。                                                                                                                                     </w:t>
      </w:r>
    </w:p>
    <w:tbl>
      <w:tblPr>
        <w:tblStyle w:val="8"/>
        <w:tblW w:w="16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23"/>
        <w:gridCol w:w="1725"/>
        <w:gridCol w:w="1230"/>
        <w:gridCol w:w="3345"/>
        <w:gridCol w:w="2880"/>
        <w:gridCol w:w="570"/>
        <w:gridCol w:w="589"/>
        <w:gridCol w:w="544"/>
        <w:gridCol w:w="574"/>
        <w:gridCol w:w="3183"/>
        <w:gridCol w:w="564"/>
        <w:gridCol w:w="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blHeader/>
          <w:jc w:val="center"/>
        </w:trPr>
        <w:tc>
          <w:tcPr>
            <w:tcW w:w="42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72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23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34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88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7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707"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18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6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59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blHeader/>
          <w:jc w:val="center"/>
        </w:trPr>
        <w:tc>
          <w:tcPr>
            <w:tcW w:w="42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72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23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34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88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7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18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6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9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Theme="minorEastAsia" w:hAnsiTheme="minorEastAsia" w:eastAsiaTheme="minorEastAsia" w:cstheme="minorEastAsia"/>
                <w:b/>
                <w:bCs/>
                <w:i w:val="0"/>
                <w:iCs w:val="0"/>
                <w:color w:val="auto"/>
                <w:kern w:val="0"/>
                <w:sz w:val="20"/>
                <w:szCs w:val="20"/>
                <w:u w:val="none"/>
                <w:lang w:val="en-US" w:eastAsia="zh-CN" w:bidi="ar"/>
              </w:rPr>
              <w:t>1</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011101000010000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一般诊疗费</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指基层医疗卫生机构医护人员为患者提供技术劳务的诊疗服务。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所定价格涵盖挂号、诊查、注射（不含药品费）以及药事服务成本等所需的人力资源和基本物质资源消耗。</w:t>
            </w:r>
          </w:p>
        </w:tc>
        <w:tc>
          <w:tcPr>
            <w:tcW w:w="5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 xml:space="preserve">1.一体化管理的行政村卫生室和社区卫生服务站按8元收取；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left"/>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 xml:space="preserve">2.不提供智医助理减收1元；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left"/>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3.不与各类“门诊诊查费”和“注射费”同时收费；                                4.对于一个疗程内需要提供多次间断性诊疗服务的（如换药、针灸、理疗、推拿等），只收取首次一般诊疗费。</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2</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42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2</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门诊诊查费（普通门诊）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指主治及以下医师提供技术劳务的门诊诊查服务，包含为患者提供从建档、了解病情和患者基本情况、阅读检查检验结果、分析诊断、制定诊疗方案或提出下一步诊断建议的医疗服务。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首诊建档、信息核实、询问病情、采集病史、查体、一般物理检查、阅读分析检查检验结果、评估病情、诊断、制定诊疗方案、向患者或家属告知、开具处方和治疗单、开具检查检验单、病历书写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011102020010001</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门诊诊查费（普通门诊）-副主任医师（加收）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指副主任医师提供技术劳务的门诊诊查服务，包含为患者提供从建档、了解病情和患者基本情况、阅读检查检验结果、分析诊断、制定诊疗方案或提出下一步诊断建议的医疗服务。</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011102020010002</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门诊诊查费（普通门诊）-主任医师（加收）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指主任医师提供技术劳务的门诊诊查服务，包含为患者提供从建档、了解病情和患者基本情况、阅读检查检验结果、分析诊断、制定诊疗方案或提出下一步诊断建议的医疗服务。</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Theme="minorEastAsia" w:hAnsiTheme="minorEastAsia" w:eastAsiaTheme="minorEastAsia" w:cstheme="minorEastAsia"/>
                <w:b w:val="0"/>
                <w:bCs w:val="0"/>
                <w:sz w:val="20"/>
                <w:szCs w:val="20"/>
                <w:lang w:val="en-US" w:eastAsia="zh-CN"/>
              </w:rPr>
            </w:pPr>
            <w:r>
              <w:rPr>
                <w:rFonts w:hint="eastAsia" w:asciiTheme="minorEastAsia" w:hAnsiTheme="minorEastAsia" w:eastAsiaTheme="minorEastAsia" w:cstheme="minorEastAsia"/>
                <w:b w:val="0"/>
                <w:bCs w:val="0"/>
                <w:sz w:val="20"/>
                <w:szCs w:val="20"/>
                <w:lang w:val="en-US" w:eastAsia="zh-CN"/>
              </w:rPr>
              <w:t>2</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011102020010003</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门诊诊查费（普通门诊）-知名专家（加收）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指知名专家提供技术劳务的门诊诊查服务，包含为患者提供从建档、了解病情和患者基本情况、阅读检查检验结果、分析诊断、制定诊疗方案或提出下一步诊断建议的医疗服务。</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2"/>
                <w:sz w:val="20"/>
                <w:szCs w:val="20"/>
                <w:u w:val="none"/>
                <w:lang w:val="en-US" w:eastAsia="zh-CN" w:bidi="ar-SA"/>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38</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34</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32</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0" w:hRule="atLeast"/>
          <w:jc w:val="center"/>
        </w:trPr>
        <w:tc>
          <w:tcPr>
            <w:tcW w:w="423" w:type="dxa"/>
            <w:vMerge w:val="restart"/>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right="0"/>
              <w:jc w:val="center"/>
              <w:rPr>
                <w:rFonts w:hint="eastAsia" w:asciiTheme="minorEastAsia" w:hAnsiTheme="minorEastAsia" w:eastAsiaTheme="minorEastAsia" w:cstheme="minorEastAsia"/>
                <w:b w:val="0"/>
                <w:bCs w:val="0"/>
                <w:sz w:val="20"/>
                <w:szCs w:val="20"/>
                <w:lang w:val="en-US" w:eastAsia="zh-CN"/>
              </w:rPr>
            </w:pPr>
            <w:r>
              <w:rPr>
                <w:rFonts w:hint="eastAsia" w:asciiTheme="minorEastAsia" w:hAnsiTheme="minorEastAsia" w:eastAsiaTheme="minorEastAsia" w:cstheme="minorEastAsia"/>
                <w:b w:val="0"/>
                <w:bCs w:val="0"/>
                <w:sz w:val="20"/>
                <w:szCs w:val="20"/>
                <w:lang w:val="en-US" w:eastAsia="zh-CN"/>
              </w:rPr>
              <w:t>3</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011102020020000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门诊诊查费（中医辨证论治）</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指主治及以下医师通过望闻问切收集中医四诊信息，依据中医理论进行辨证，分析病因、病位、病性及病机转化，作出证候诊断，同时可结合现代医学，为门诊患者制定诊疗方案。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首诊建档、信息核实、询问病情、采集病史、望闻问切、查体、一般物理检查、阅读分析检查检验结果、评估病情、中医辨证分析、诊断、制定诊疗方案、向患者或家属告知、开具处方、开具检查检验单、病历书写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单次就诊不与“门诊诊查费（普通门诊）”同时收费。</w:t>
            </w:r>
          </w:p>
        </w:tc>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011102020020001</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门诊诊查费（中医辨证论治）-副主任医师（加收）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指副主任医师通过望闻问切收集中医四诊信息，依据中医理论进行辨证，分析病因、病位、病性及病机转化，作出证候诊断，同时可结合现代医学，为门诊患者制定诊疗方案。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011102020020002</w:t>
            </w:r>
          </w:p>
        </w:tc>
        <w:tc>
          <w:tcPr>
            <w:tcW w:w="123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门诊诊查费（中医辨证论治）-主任医师（加收）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指主任医师通过望闻问切收集中医四诊信息，依据中医理论进行辨证，分析病因、病位、病性及病机转化，作出证候诊断，同时可结合现代医学，为门诊患者制定诊疗方案。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3</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011102020020003</w:t>
            </w:r>
          </w:p>
        </w:tc>
        <w:tc>
          <w:tcPr>
            <w:tcW w:w="123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门诊诊查费（中医辨证论治）-知名专家（加收）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指知名专家通过望闻问切收集中医四诊信息，依据中医理论进行辨证，分析病因、病位、病性及病机转化，作出证候诊断，同时可结合现代医学，为门诊患者制定诊疗方案。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省国医名师加收87元，国医大师加收247元。</w:t>
            </w:r>
          </w:p>
        </w:tc>
        <w:tc>
          <w:tcPr>
            <w:tcW w:w="564"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42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4</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011102020030000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门诊诊查费（药学门诊）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指卫生主管部门认定具有药学门诊资质的临床药师，提供技术劳务的门诊药学/中药学服务，包含为患者提供从药学/中药学咨询到用药指导、用药方案调整建议的药学服务。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所定价格涵盖核实信息、药学咨询、评估用药情况、开展药学指导、</w:t>
            </w:r>
            <w:r>
              <w:rPr>
                <w:rFonts w:hint="eastAsia" w:asciiTheme="minorEastAsia" w:hAnsiTheme="minorEastAsia" w:eastAsiaTheme="minorEastAsia" w:cstheme="minorEastAsia"/>
                <w:i w:val="0"/>
                <w:iCs w:val="0"/>
                <w:color w:val="auto"/>
                <w:kern w:val="0"/>
                <w:sz w:val="20"/>
                <w:szCs w:val="20"/>
                <w:u w:val="none"/>
                <w:lang w:val="en-US" w:eastAsia="zh" w:bidi="ar"/>
              </w:rPr>
              <w:t>协助</w:t>
            </w:r>
            <w:r>
              <w:rPr>
                <w:rFonts w:hint="eastAsia" w:asciiTheme="minorEastAsia" w:hAnsiTheme="minorEastAsia" w:eastAsiaTheme="minorEastAsia" w:cstheme="minorEastAsia"/>
                <w:i w:val="0"/>
                <w:iCs w:val="0"/>
                <w:color w:val="auto"/>
                <w:kern w:val="0"/>
                <w:sz w:val="20"/>
                <w:szCs w:val="20"/>
                <w:u w:val="none"/>
                <w:lang w:val="en-US" w:eastAsia="zh-CN" w:bidi="ar"/>
              </w:rPr>
              <w:t>制定用药方案、干预或提出药物重整建议、建立</w:t>
            </w:r>
            <w:r>
              <w:rPr>
                <w:rFonts w:hint="eastAsia" w:asciiTheme="minorEastAsia" w:hAnsiTheme="minorEastAsia" w:eastAsiaTheme="minorEastAsia" w:cstheme="minorEastAsia"/>
                <w:i w:val="0"/>
                <w:iCs w:val="0"/>
                <w:color w:val="auto"/>
                <w:kern w:val="0"/>
                <w:sz w:val="20"/>
                <w:szCs w:val="20"/>
                <w:u w:val="none"/>
                <w:lang w:val="en-US" w:eastAsia="zh" w:bidi="ar"/>
              </w:rPr>
              <w:t>门诊</w:t>
            </w:r>
            <w:r>
              <w:rPr>
                <w:rFonts w:hint="eastAsia" w:asciiTheme="minorEastAsia" w:hAnsiTheme="minorEastAsia" w:eastAsiaTheme="minorEastAsia" w:cstheme="minorEastAsia"/>
                <w:i w:val="0"/>
                <w:iCs w:val="0"/>
                <w:color w:val="auto"/>
                <w:kern w:val="0"/>
                <w:sz w:val="20"/>
                <w:szCs w:val="20"/>
                <w:u w:val="none"/>
                <w:lang w:val="en-US" w:eastAsia="zh-CN" w:bidi="ar"/>
              </w:rPr>
              <w:t>药历等所需的人力资源和基本物质资源消耗。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7.6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6.8</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6.5</w:t>
            </w:r>
          </w:p>
        </w:tc>
        <w:tc>
          <w:tcPr>
            <w:tcW w:w="3183" w:type="dxa"/>
            <w:shd w:val="clear" w:color="auto" w:fill="auto"/>
            <w:tcMar>
              <w:top w:w="0" w:type="dxa"/>
              <w:left w:w="57" w:type="dxa"/>
              <w:bottom w:w="0" w:type="dxa"/>
              <w:right w:w="57" w:type="dxa"/>
            </w:tcMar>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1.本项目的药学服务涵盖西药、中药及民族药。</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kern w:val="0"/>
                <w:sz w:val="20"/>
                <w:szCs w:val="20"/>
                <w:lang w:val="en-US" w:eastAsia="zh-CN"/>
              </w:rPr>
              <w:t>2.</w:t>
            </w:r>
            <w:r>
              <w:rPr>
                <w:rFonts w:hint="eastAsia" w:asciiTheme="minorEastAsia" w:hAnsiTheme="minorEastAsia" w:eastAsiaTheme="minorEastAsia" w:cstheme="minorEastAsia"/>
                <w:i w:val="0"/>
                <w:iCs w:val="0"/>
                <w:kern w:val="0"/>
                <w:sz w:val="20"/>
                <w:szCs w:val="20"/>
              </w:rPr>
              <w:t>本项目适用范围为二、三级医疗机构。</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011102020030001</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门诊诊查费（药学门诊）-副主任（中）药师（加收）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指卫生主管部门认定具有药学门诊资质的副主任（中）药师，提供技术劳务的门诊药学/中药学服务，包含为患者提供从药学/中药学咨询到用药指导、用药方案调整建议的药学服务。</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011102020030002</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门诊诊查费（药学门诊）-主任（中）药师（加收）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指卫生主管部门认定具有药学门诊资质的主任（中）药师，提供技术劳务的门诊药学/中药学服务，包含为患者提供从药学/中药学咨询到用药指导、用药方案调整建议的药学服务。</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察</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blHeader/>
          <w:jc w:val="center"/>
        </w:trPr>
        <w:tc>
          <w:tcPr>
            <w:tcW w:w="42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72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23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34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88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7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707"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18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6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593"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blHeader/>
          <w:jc w:val="center"/>
        </w:trPr>
        <w:tc>
          <w:tcPr>
            <w:tcW w:w="42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72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23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34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88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7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18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6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93"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Theme="minorEastAsia" w:hAnsiTheme="minorEastAsia" w:eastAsiaTheme="minorEastAsia" w:cstheme="minorEastAsia"/>
                <w:b/>
                <w:bCs/>
                <w:i w:val="0"/>
                <w:iCs w:val="0"/>
                <w:color w:val="auto"/>
                <w:kern w:val="2"/>
                <w:sz w:val="20"/>
                <w:szCs w:val="20"/>
                <w:u w:val="none"/>
                <w:lang w:val="en-US" w:eastAsia="zh-CN" w:bidi="ar-SA"/>
              </w:rPr>
              <w:t>5</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011102020040000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门诊诊查费（护理门诊）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指主管护师及以上护理人员提供技术劳务的门诊护理服务，包含为患者提供从护理咨询到护理查体评估，制定护理方案的护理服务。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所定价格涵盖核实信息，护理服务、护理咨询、护理查体评估、护理指导及制定护理方案、护理记录等所需的人力资源和基本物质资源消耗。</w:t>
            </w:r>
          </w:p>
        </w:tc>
        <w:tc>
          <w:tcPr>
            <w:tcW w:w="5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7.6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6.8</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6.5</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收费范围限国家卫生健康主管部门准许开展的护理门诊。</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6</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011102020050000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门诊诊查费（便民门诊）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指针对复诊患者，提供开具药品、耗材、检查检验处方接续的门诊服务。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所定价格涵盖信息核实、开单等所需的人力资源和基本物质资源消耗。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sz w:val="20"/>
                <w:szCs w:val="20"/>
                <w:u w:val="none"/>
              </w:rPr>
              <w:t>互联网</w:t>
            </w:r>
            <w:r>
              <w:rPr>
                <w:rFonts w:hint="eastAsia" w:asciiTheme="minorEastAsia" w:hAnsiTheme="minorEastAsia" w:eastAsiaTheme="minorEastAsia" w:cstheme="minorEastAsia"/>
                <w:i w:val="0"/>
                <w:iCs w:val="0"/>
                <w:color w:val="auto"/>
                <w:sz w:val="20"/>
                <w:szCs w:val="20"/>
                <w:u w:val="none"/>
                <w:lang w:val="en-US" w:eastAsia="zh-CN"/>
              </w:rPr>
              <w:t>远程便民</w:t>
            </w:r>
            <w:r>
              <w:rPr>
                <w:rFonts w:hint="eastAsia" w:asciiTheme="minorEastAsia" w:hAnsiTheme="minorEastAsia" w:eastAsiaTheme="minorEastAsia" w:cstheme="minorEastAsia"/>
                <w:i w:val="0"/>
                <w:iCs w:val="0"/>
                <w:color w:val="auto"/>
                <w:sz w:val="20"/>
                <w:szCs w:val="20"/>
                <w:u w:val="none"/>
              </w:rPr>
              <w:t>诊</w:t>
            </w:r>
            <w:r>
              <w:rPr>
                <w:rFonts w:hint="eastAsia" w:asciiTheme="minorEastAsia" w:hAnsiTheme="minorEastAsia" w:eastAsiaTheme="minorEastAsia" w:cstheme="minorEastAsia"/>
                <w:i w:val="0"/>
                <w:iCs w:val="0"/>
                <w:color w:val="auto"/>
                <w:sz w:val="20"/>
                <w:szCs w:val="20"/>
                <w:u w:val="none"/>
                <w:lang w:val="en-US" w:eastAsia="zh-CN"/>
              </w:rPr>
              <w:t>查</w:t>
            </w:r>
            <w:r>
              <w:rPr>
                <w:rFonts w:hint="eastAsia" w:asciiTheme="minorEastAsia" w:hAnsiTheme="minorEastAsia" w:eastAsiaTheme="minorEastAsia" w:cstheme="minorEastAsia"/>
                <w:i w:val="0"/>
                <w:iCs w:val="0"/>
                <w:color w:val="auto"/>
                <w:sz w:val="20"/>
                <w:szCs w:val="20"/>
                <w:u w:val="none"/>
              </w:rPr>
              <w:t>费参照执行</w:t>
            </w:r>
            <w:r>
              <w:rPr>
                <w:rFonts w:hint="eastAsia" w:asciiTheme="minorEastAsia" w:hAnsiTheme="minorEastAsia" w:eastAsiaTheme="minorEastAsia" w:cstheme="minorEastAsia"/>
                <w:i w:val="0"/>
                <w:iCs w:val="0"/>
                <w:color w:val="auto"/>
                <w:sz w:val="20"/>
                <w:szCs w:val="20"/>
                <w:u w:val="none"/>
                <w:lang w:eastAsia="zh-CN"/>
              </w:rPr>
              <w:t>。</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7</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011102020060000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急诊诊查费（普通）</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指在急诊区域内，包含为患者提供从建档、了解病情和患者基本情况、分析诊断、制定诊疗方案或提出下一步诊断建议的医疗服务。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急诊建档、信息核实、询问病情、采集病史、查体、一般物理检查、阅读分析检查检验结果、评估病情、诊断、制定诊疗方案、及时向患者或家属告知、开具处方和治疗单、开具检查检验单、病历书写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17</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16</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8</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011102020070000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急诊诊查费（留观）</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指医师对急诊留观患者进行的诊查服务，并根据病情制定诊疗方案。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留观建档、巡视患者、密切观察患者病情及生命体征变化、病史采集、查体、一般物理检查、阅读分析检查检验结果、评估病情、诊断、制定诊疗方案、开立医嘱、病历书写、病情告知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2"/>
                <w:sz w:val="20"/>
                <w:szCs w:val="20"/>
                <w:lang w:val="en-US" w:eastAsia="zh-CN"/>
              </w:rPr>
            </w:pP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1.门诊诊查费（留观）参照执行；</w:t>
            </w:r>
            <w:r>
              <w:rPr>
                <w:rFonts w:hint="eastAsia" w:asciiTheme="minorEastAsia" w:hAnsiTheme="minorEastAsia" w:eastAsiaTheme="minorEastAsia" w:cstheme="minorEastAsia"/>
                <w:i w:val="0"/>
                <w:iCs w:val="0"/>
                <w:color w:val="auto"/>
                <w:kern w:val="0"/>
                <w:sz w:val="20"/>
                <w:szCs w:val="20"/>
                <w:u w:val="none"/>
                <w:lang w:val="en-US" w:eastAsia="zh-CN" w:bidi="ar"/>
              </w:rPr>
              <w:br w:type="textWrapping"/>
            </w:r>
            <w:r>
              <w:rPr>
                <w:rFonts w:hint="eastAsia" w:asciiTheme="minorEastAsia" w:hAnsiTheme="minorEastAsia" w:eastAsiaTheme="minorEastAsia" w:cstheme="minorEastAsia"/>
                <w:i w:val="0"/>
                <w:iCs w:val="0"/>
                <w:color w:val="auto"/>
                <w:kern w:val="0"/>
                <w:sz w:val="20"/>
                <w:szCs w:val="20"/>
                <w:u w:val="none"/>
                <w:lang w:val="en-US" w:eastAsia="zh-CN" w:bidi="ar"/>
              </w:rPr>
              <w:t>2.当天转住院的，门/急诊诊查费（留观）与住院诊查费用（普通）不得同时收取。</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 xml:space="preserve">诊 察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8</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011102020070001</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急诊诊查费（留观）-急诊抢救室（加收）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指医师对急诊抢救室中急诊留观患者进行的诊查服务，并根据病情制定诊疗方案。</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所定价格涵盖信息核实、开单等所需的人力资源和基本物质资源消耗。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9</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011102030010000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住院诊查费（普通）</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指医师对住院患者进行每日的诊查服务，根据病情变化制定及调整诊疗方案。</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住院建档、查房、观察患者病情及生命体征变化、病史采集、查体、一般物理检查、阅读分析检查检验结果、评估病情、诊断、制定诊疗方案、病历书写、开立医嘱、病情告知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10</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011102030020000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住院诊查费（临床药学）</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指临床药师结合患者病情和用药情况，参与临床医师住院巡诊，协同制定个体化药物治疗方案，并进行用药监护和用药安全指导的药学服务。</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所定价格涵盖参与住院巡诊、协同制定个体化药物治疗方案、疗效观察、药物不良反应监测、安全用药指导、干预或提出药物重整等建议、建立药历等所需的人力资源和基本物质资源消耗。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符合规定资质的临床药师参与临床医师住院巡诊，每日收取13元；住院天数≤30天的，收取费用不超过39元；住院天数＞30天的，每30天（含）收取费用不超过39元，最高收费不超过78元。</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2</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11</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011102040010000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互联网诊查费（首诊）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指中级职称及以下医务人员通过互联网医疗服务平台提供技术劳务的首次诊疗服务，包含为患者提供从问诊到诊断，制定诊疗方案或提出下一步诊疗建议。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所定价格涵盖信息核实、在线问诊、记录分析、制定诊疗方案或建议，必要时在线开具处方等所需的人力资源和基本物质资源消耗。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7.3</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收费范围限国家卫生健康主管部门准许通过互联网方式开展的首诊服务。</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423"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11</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011102040010001</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互联网诊查费（首诊）-副主任医师（加收）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指副主任医师通过互联网医疗服务平台提供技术劳务的首次诊疗服务，包含为患者提供从问诊到诊断，制定诊疗方案或提出下一步诊疗建议。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7.3</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011102040010002</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互联网诊查费（首诊）-正主任医师（加收）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指正主任医师通过互联网医疗服务平台提供技术劳务的首次诊疗服务，包含为患者提供从问诊到诊断，制定诊疗方案或提出下一步诊疗建议。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423"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011102040010003</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互联网诊查费（首诊）-知名专家（加收）</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指知名专家通过互联网医疗服务平台提供技术劳务的首次诊疗服务，包含为患者提供从问诊到诊断，制定诊疗方案或提出下一步诊疗建议。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34</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31</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12</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011102040020000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互联网诊查费（复诊）</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指医务人员通过互联网医疗服务平台提供技术劳务的复诊诊疗服务，包含为患者提供从问诊到诊断，制定诊疗方案或提出下一步诊疗建议。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所定价格涵盖信息核实、在线问诊、查阅既往病历及检查报告、记录分析、制定诊疗方案或建议，必要时在线开具处方等所需的人力资源和基本物质资源消耗。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7.3</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1.收费范围限国家卫生健康主管部门准许通过互联网方式开展的复诊服务；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2.公立医疗机构开展互联网复诊，由不同级别医务人员提供服务，均按此标准收费。</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3</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诊 察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13</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011103000010000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院前急救费</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针对急危重症患者，医护人员制定抢救方案，在院前组织开展现场紧急救治。</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所定价格涵盖组织人员、观察、实施抢救、监测生命体征、记录、制定方案等所需的人力资源和基本物质资源消耗。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48</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43</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41</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“院前”以物理空间为分界标准。</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Theme="minorEastAsia" w:hAnsiTheme="minorEastAsia" w:eastAsiaTheme="minorEastAsia" w:cstheme="minorEastAsia"/>
                <w:b/>
                <w:bCs/>
                <w:i w:val="0"/>
                <w:iCs w:val="0"/>
                <w:color w:val="auto"/>
                <w:kern w:val="0"/>
                <w:sz w:val="20"/>
                <w:szCs w:val="20"/>
                <w:u w:val="none"/>
                <w:lang w:val="en-US" w:eastAsia="zh-CN" w:bidi="ar"/>
              </w:rPr>
              <w:t>14</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011104000010000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院内抢救费（常规）</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9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针对急危重症患者，由单临床学科医务人员制定抢救方案，在院内组织开展现场紧急救治，不含心肺复苏术。</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所定价格涵盖组织人员、观察、实施抢救、记录、制定方案等所需的人力资源和基本物质资源消耗。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133</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120</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113</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Theme="minorEastAsia" w:hAnsiTheme="minorEastAsia" w:eastAsiaTheme="minorEastAsia" w:cstheme="minorEastAsia"/>
                <w:b/>
                <w:bCs/>
                <w:i w:val="0"/>
                <w:iCs w:val="0"/>
                <w:color w:val="auto"/>
                <w:kern w:val="0"/>
                <w:sz w:val="20"/>
                <w:szCs w:val="20"/>
                <w:u w:val="none"/>
                <w:lang w:val="en-US" w:eastAsia="zh-CN" w:bidi="ar"/>
              </w:rPr>
              <w:t>15</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011104000020000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院内抢救费（复杂）</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针对急危重症患者，由两个及以上临床学科医务人员联合制定抢救方案，在院内组织开展现场紧急救治，不含心肺复苏术。</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所定价格涵盖组织人员、观察、实施抢救、记录、制定方案等所需的人力资源和基本物质资源消耗。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日</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266</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239</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226</w:t>
            </w:r>
          </w:p>
        </w:tc>
        <w:tc>
          <w:tcPr>
            <w:tcW w:w="318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护理、药学不作为单独临床学科计价。</w:t>
            </w: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423"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Theme="minorEastAsia" w:hAnsiTheme="minorEastAsia" w:eastAsiaTheme="minorEastAsia" w:cstheme="minorEastAsia"/>
                <w:b/>
                <w:bCs/>
                <w:i w:val="0"/>
                <w:iCs w:val="0"/>
                <w:color w:val="auto"/>
                <w:kern w:val="0"/>
                <w:sz w:val="20"/>
                <w:szCs w:val="20"/>
                <w:u w:val="none"/>
                <w:lang w:val="en-US" w:eastAsia="zh-CN" w:bidi="ar"/>
              </w:rPr>
              <w:t>16</w:t>
            </w:r>
          </w:p>
        </w:tc>
        <w:tc>
          <w:tcPr>
            <w:tcW w:w="172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011104000030000</w:t>
            </w:r>
          </w:p>
        </w:tc>
        <w:tc>
          <w:tcPr>
            <w:tcW w:w="12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心肺复苏术</w:t>
            </w:r>
          </w:p>
        </w:tc>
        <w:tc>
          <w:tcPr>
            <w:tcW w:w="334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指手术室内外所有行心肺复苏的治疗，使患者恢复自主循环和呼吸。</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所定价格涵盖组织人员、观察、实施心肺复苏等所需的人力资源和基本物质资源消耗。</w:t>
            </w:r>
          </w:p>
        </w:tc>
        <w:tc>
          <w:tcPr>
            <w:tcW w:w="57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Theme="minorEastAsia" w:hAnsiTheme="minorEastAsia" w:eastAsiaTheme="minorEastAsia" w:cstheme="minorEastAsia"/>
                <w:i w:val="0"/>
                <w:iCs w:val="0"/>
                <w:color w:val="auto"/>
                <w:kern w:val="0"/>
                <w:sz w:val="20"/>
                <w:szCs w:val="20"/>
                <w:u w:val="none"/>
                <w:lang w:val="en-US" w:eastAsia="zh-CN" w:bidi="ar"/>
              </w:rPr>
              <w:t>次</w:t>
            </w:r>
          </w:p>
        </w:tc>
        <w:tc>
          <w:tcPr>
            <w:tcW w:w="589"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200</w:t>
            </w:r>
          </w:p>
        </w:tc>
        <w:tc>
          <w:tcPr>
            <w:tcW w:w="54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180</w:t>
            </w:r>
          </w:p>
        </w:tc>
        <w:tc>
          <w:tcPr>
            <w:tcW w:w="574"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170</w:t>
            </w:r>
          </w:p>
        </w:tc>
        <w:tc>
          <w:tcPr>
            <w:tcW w:w="3183"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6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1</w:t>
            </w:r>
          </w:p>
        </w:tc>
        <w:tc>
          <w:tcPr>
            <w:tcW w:w="593"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1105</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床位费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89" w:type="dxa"/>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i w:val="0"/>
                <w:iCs w:val="0"/>
                <w:color w:val="000000"/>
                <w:kern w:val="2"/>
                <w:sz w:val="20"/>
                <w:szCs w:val="20"/>
                <w:lang w:val="en-US" w:eastAsia="zh-CN"/>
              </w:rPr>
            </w:pPr>
          </w:p>
        </w:tc>
        <w:tc>
          <w:tcPr>
            <w:tcW w:w="544" w:type="dxa"/>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i w:val="0"/>
                <w:iCs w:val="0"/>
                <w:color w:val="000000"/>
                <w:kern w:val="2"/>
                <w:sz w:val="20"/>
                <w:szCs w:val="20"/>
                <w:lang w:val="en-US" w:eastAsia="zh-CN"/>
              </w:rPr>
            </w:pPr>
          </w:p>
        </w:tc>
        <w:tc>
          <w:tcPr>
            <w:tcW w:w="574" w:type="dxa"/>
            <w:shd w:val="clear" w:color="auto" w:fill="auto"/>
            <w:vAlign w:val="center"/>
          </w:tcPr>
          <w:p>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val="0"/>
                <w:i w:val="0"/>
                <w:iCs w:val="0"/>
                <w:color w:val="000000"/>
                <w:kern w:val="2"/>
                <w:sz w:val="20"/>
                <w:szCs w:val="20"/>
                <w:lang w:val="en-US" w:eastAsia="zh-CN"/>
              </w:rPr>
            </w:pP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Theme="minorEastAsia" w:hAnsiTheme="minorEastAsia" w:eastAsiaTheme="minorEastAsia" w:cstheme="minorEastAsia"/>
                <w:i w:val="0"/>
                <w:iCs w:val="0"/>
                <w:color w:val="auto"/>
                <w:kern w:val="0"/>
                <w:sz w:val="20"/>
                <w:szCs w:val="20"/>
                <w:u w:val="none"/>
                <w:lang w:val="en-US" w:eastAsia="zh-CN" w:bidi="ar"/>
              </w:rPr>
              <w:t>1.独立卫浴指配有蹲/坐便器、热淋浴和洗手盆，缺少其中一项视为无独立卫浴；                                            2.精神科封闭病区</w:t>
            </w:r>
            <w:r>
              <w:rPr>
                <w:rFonts w:hint="eastAsia" w:asciiTheme="minorEastAsia" w:hAnsiTheme="minorEastAsia" w:eastAsiaTheme="minorEastAsia" w:cstheme="minorEastAsia"/>
                <w:i w:val="0"/>
                <w:iCs w:val="0"/>
                <w:color w:val="auto"/>
                <w:kern w:val="0"/>
                <w:sz w:val="20"/>
                <w:szCs w:val="20"/>
                <w:u w:val="none"/>
                <w:lang w:val="en-US" w:eastAsia="zh" w:bidi="ar"/>
              </w:rPr>
              <w:t>无独立卫浴的</w:t>
            </w:r>
            <w:r>
              <w:rPr>
                <w:rFonts w:hint="eastAsia" w:asciiTheme="minorEastAsia" w:hAnsiTheme="minorEastAsia" w:eastAsiaTheme="minorEastAsia" w:cstheme="minorEastAsia"/>
                <w:i w:val="0"/>
                <w:iCs w:val="0"/>
                <w:color w:val="auto"/>
                <w:kern w:val="0"/>
                <w:sz w:val="20"/>
                <w:szCs w:val="20"/>
                <w:u w:val="none"/>
                <w:lang w:val="en-US" w:eastAsia="zh-CN" w:bidi="ar"/>
              </w:rPr>
              <w:t>床位费暂按原价格执行。</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17</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011105000010000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床位费（单人间）</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指住院期间为患者提供的单人病房及相关设施（病房内使用面积不少于15㎡、独立卫浴、电视机、无线网、沙发、茶几、活动餐桌、双摇床、陪护椅、衣柜，</w:t>
            </w:r>
            <w:r>
              <w:rPr>
                <w:rFonts w:hint="eastAsia" w:asciiTheme="minorEastAsia" w:hAnsiTheme="minorEastAsia" w:eastAsiaTheme="minorEastAsia" w:cstheme="minorEastAsia"/>
                <w:color w:val="auto"/>
                <w:kern w:val="0"/>
                <w:sz w:val="20"/>
                <w:szCs w:val="20"/>
                <w:lang w:val="en-US" w:eastAsia="zh-CN" w:bidi="ar"/>
              </w:rPr>
              <w:t>病区内设宣教室、活动室</w:t>
            </w:r>
            <w:r>
              <w:rPr>
                <w:rFonts w:hint="eastAsia" w:asciiTheme="minorEastAsia" w:hAnsiTheme="minorEastAsia" w:eastAsiaTheme="minorEastAsia" w:cstheme="minorEastAsia"/>
                <w:i w:val="0"/>
                <w:iCs w:val="0"/>
                <w:color w:val="auto"/>
                <w:kern w:val="0"/>
                <w:sz w:val="20"/>
                <w:szCs w:val="20"/>
                <w:u w:val="none"/>
                <w:lang w:val="en-US" w:eastAsia="zh-CN" w:bidi="ar"/>
              </w:rPr>
              <w:t>）。</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所定价格涵盖床单位必备设施，包括但不限于腕带、病人服装、文档资料及管理、床单位设备及布草、独立卫浴、能源消耗、医疗垃圾及污水处理、病房控温设施及维护等所需的人力资源和基本物质资源消耗。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床位·日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left"/>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病房无独立卫浴的执行政府指导价，按37元收取。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2</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18</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011105000020000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床位费（二人间）</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指住院期间为患者提供的双人病房床位及相关设施（病房内每床使用面积不少于15</w:t>
            </w:r>
            <w:r>
              <w:rPr>
                <w:rFonts w:hint="default" w:ascii="宋体" w:hAnsi="宋体" w:eastAsia="宋体" w:cs="宋体"/>
                <w:i w:val="0"/>
                <w:iCs w:val="0"/>
                <w:color w:val="auto"/>
                <w:kern w:val="0"/>
                <w:sz w:val="20"/>
                <w:szCs w:val="20"/>
                <w:u w:val="none"/>
                <w:lang w:val="en-US" w:eastAsia="zh-CN" w:bidi="ar"/>
              </w:rPr>
              <w:t>㎡</w:t>
            </w:r>
            <w:r>
              <w:rPr>
                <w:rFonts w:hint="eastAsia" w:ascii="宋体" w:hAnsi="宋体" w:eastAsia="宋体" w:cs="宋体"/>
                <w:i w:val="0"/>
                <w:iCs w:val="0"/>
                <w:color w:val="auto"/>
                <w:kern w:val="0"/>
                <w:sz w:val="20"/>
                <w:szCs w:val="20"/>
                <w:u w:val="none"/>
                <w:lang w:val="en-US" w:eastAsia="zh-CN" w:bidi="ar"/>
              </w:rPr>
              <w:t>、独立卫浴、无线网、活动餐桌、双摇床、陪护椅、衣柜）。</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所定价格涵盖床单位必备设施，包括但不限于腕带、病人服装、文档资料及管理、床单位设备及布草、独立卫浴、能源消耗、医疗垃圾及污水处理、病房控温设施及维护等所需的人力资源和基本物质资源消耗。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1.病房无独立卫浴的按23元收取；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2.病房有独立卫浴但不满足服务产出病房设施要求的，每少一项减收5元。</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19</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011105000030000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床位费（三人间）</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指住院期间为患者提供的三人病房床位及相关设施（病房内每床使用面积不少于10㎡、独立卫浴、无线网、活动餐桌、双摇床、陪护椅、衣柜）。</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所定价格涵盖床单位必备设施，包括但不限于腕带、病人服装、文档资料及管理、床单位设备及布草、独立卫浴、能源消耗、医疗垃圾及污水处理、病房控温设施及维护等所需的人力资源和基本物质资源消耗。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1.病房无独立卫浴的按17元收取；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2.病房有独立卫浴但不满足服务产出病房设施要求的，每少一项减收5元。</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20</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011105000040000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床位费（多人间）</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指住院期间为患者提供的多人间（四人及以上）病房床位及相关设施（病房内每床使用面积不少于8㎡、独立卫浴、无线网、活动餐桌、双摇床、陪护椅、衣柜）。</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1.病房无独立卫浴的按12元收取；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2.病房有独立卫浴但不满足服务产出病房设施要求的，每少一项减收5元。</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011105000040100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床位费（多人间）-临时床位（扩展）</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r>
              <w:rPr>
                <w:rFonts w:hint="eastAsia" w:asciiTheme="minorEastAsia" w:hAnsiTheme="minorEastAsia" w:eastAsiaTheme="minorEastAsia" w:cstheme="minorEastAsia"/>
                <w:i w:val="0"/>
                <w:iCs w:val="0"/>
                <w:color w:val="auto"/>
                <w:sz w:val="20"/>
                <w:szCs w:val="20"/>
                <w:u w:val="none"/>
                <w:lang w:val="en-US" w:eastAsia="zh-CN"/>
              </w:rPr>
              <w:t>指病房外加床。</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20</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w:t>
            </w:r>
          </w:p>
        </w:tc>
        <w:tc>
          <w:tcPr>
            <w:tcW w:w="3183" w:type="dxa"/>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r>
              <w:rPr>
                <w:rFonts w:hint="eastAsia" w:ascii="宋体" w:hAnsi="宋体" w:eastAsia="宋体" w:cs="宋体"/>
                <w:i w:val="0"/>
                <w:iCs w:val="0"/>
                <w:color w:val="auto"/>
                <w:kern w:val="0"/>
                <w:sz w:val="20"/>
                <w:szCs w:val="20"/>
                <w:u w:val="none"/>
                <w:lang w:val="en-US" w:eastAsia="zh" w:bidi="ar"/>
              </w:rPr>
              <w:t>病区</w:t>
            </w:r>
            <w:r>
              <w:rPr>
                <w:rFonts w:hint="eastAsia" w:ascii="宋体" w:hAnsi="宋体" w:eastAsia="宋体" w:cs="宋体"/>
                <w:i w:val="0"/>
                <w:iCs w:val="0"/>
                <w:color w:val="auto"/>
                <w:kern w:val="0"/>
                <w:sz w:val="20"/>
                <w:szCs w:val="20"/>
                <w:u w:val="none"/>
                <w:lang w:val="en-US" w:eastAsia="zh-CN" w:bidi="ar"/>
              </w:rPr>
              <w:t>病房无独立卫浴的按10元收取；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80" w:lineRule="exact"/>
              <w:ind w:left="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2.在病房内增加病床的，按加床后实有床位数（含原病床）标准收取床位费。</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423"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011105000050000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床位费（急诊留观）</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指医疗机构对急诊留观患者提供的留观床及相关设施。</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w:t>
            </w:r>
            <w:r>
              <w:rPr>
                <w:rFonts w:hint="eastAsia" w:ascii="宋体" w:hAnsi="宋体" w:eastAsia="宋体" w:cs="宋体"/>
                <w:i w:val="0"/>
                <w:iCs w:val="0"/>
                <w:color w:val="auto"/>
                <w:spacing w:val="-6"/>
                <w:kern w:val="0"/>
                <w:sz w:val="20"/>
                <w:szCs w:val="20"/>
                <w:u w:val="none"/>
                <w:lang w:val="en-US" w:eastAsia="zh-CN" w:bidi="ar"/>
              </w:rPr>
              <w:t>涵盖床单位必备设施，包括但不限于文档资料及管理、能源消耗、医疗垃圾及污水处理、病房控温设施及维护等所需的人力资源</w:t>
            </w:r>
            <w:r>
              <w:rPr>
                <w:rFonts w:hint="eastAsia" w:ascii="宋体" w:hAnsi="宋体" w:eastAsia="宋体" w:cs="宋体"/>
                <w:i w:val="0"/>
                <w:iCs w:val="0"/>
                <w:color w:val="auto"/>
                <w:kern w:val="0"/>
                <w:sz w:val="20"/>
                <w:szCs w:val="20"/>
                <w:u w:val="none"/>
                <w:lang w:val="en-US" w:eastAsia="zh-CN" w:bidi="ar"/>
              </w:rPr>
              <w:t>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13</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1.床位费（门诊留观）参照执行；</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2.办理住院后的患者按相应床位费标准收取；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3.不与其他床位费同时收取。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423" w:type="dxa"/>
            <w:vMerge w:val="continue"/>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011105000050001</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床位费（急诊留观）-急诊抢救室（加收）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指医疗机构对急诊抢救室中急诊留观患者提供的留观床及相关设施。</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sz w:val="20"/>
                <w:szCs w:val="20"/>
                <w:lang w:val="en-US" w:eastAsia="zh-CN"/>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2"/>
                <w:sz w:val="20"/>
                <w:szCs w:val="20"/>
                <w:u w:val="none"/>
                <w:lang w:val="en-US" w:eastAsia="zh-CN" w:bidi="ar-SA"/>
              </w:rPr>
            </w:pPr>
            <w:r>
              <w:rPr>
                <w:rFonts w:hint="eastAsia" w:ascii="宋体" w:hAnsi="宋体" w:eastAsia="宋体" w:cs="宋体"/>
                <w:b/>
                <w:bCs/>
                <w:i w:val="0"/>
                <w:iCs w:val="0"/>
                <w:color w:val="auto"/>
                <w:kern w:val="0"/>
                <w:sz w:val="20"/>
                <w:szCs w:val="20"/>
                <w:u w:val="none"/>
                <w:lang w:val="en-US" w:eastAsia="zh-CN" w:bidi="ar"/>
              </w:rPr>
              <w:t>22</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011105000060000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床位费（重症监护）</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指治疗期间根据病情需要，为患者提供的重症监护病区床位及相关设施。</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病房控温设施、中心监护台，监护设备及其他监护抢救设施、空气净化设施、能源消耗、医疗垃圾及污水处理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62</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56</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53</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sz w:val="20"/>
                <w:szCs w:val="20"/>
                <w:lang w:val="en-US" w:eastAsia="zh-CN"/>
              </w:rPr>
            </w:pPr>
            <w:r>
              <w:rPr>
                <w:rFonts w:hint="eastAsia" w:ascii="宋体" w:hAnsi="宋体" w:eastAsia="宋体" w:cs="宋体"/>
                <w:i w:val="0"/>
                <w:iCs w:val="0"/>
                <w:color w:val="auto"/>
                <w:kern w:val="0"/>
                <w:sz w:val="20"/>
                <w:szCs w:val="20"/>
                <w:u w:val="none"/>
                <w:lang w:val="en-US" w:eastAsia="zh-CN" w:bidi="ar"/>
              </w:rPr>
              <w:t>不与其他床位费同时收取。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011105000070000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床位费（层流洁净）</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指住院期间根据病情需要，为患者提供达到层流标准的洁净床位及相关设施。</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全封闭式层流洁净间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285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257</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242</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sz w:val="20"/>
                <w:szCs w:val="20"/>
                <w:lang w:val="en-US" w:eastAsia="zh-CN"/>
              </w:rPr>
            </w:pPr>
            <w:r>
              <w:rPr>
                <w:rFonts w:hint="eastAsia" w:ascii="宋体" w:hAnsi="宋体" w:eastAsia="宋体" w:cs="宋体"/>
                <w:i w:val="0"/>
                <w:iCs w:val="0"/>
                <w:color w:val="auto"/>
                <w:kern w:val="0"/>
                <w:sz w:val="20"/>
                <w:szCs w:val="20"/>
                <w:u w:val="none"/>
                <w:lang w:val="en-US" w:eastAsia="zh-CN" w:bidi="ar"/>
              </w:rPr>
              <w:t>1.按照中华人民共和国住房和城乡建设部《GB51039-2014综合医院建筑设计规范》，层流洁净床位需满足I级洁净用房相关要求；不满足I级洁净用房相关要求的层流洁净床位费按150元收取；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2.不与其他床位费同时收取。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011105000080000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床位费（特殊防护）</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指住院期间根据病情需要，为患者提供的放射性物质照射治疗或负压病房床位及相关设施。</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放射性医疗垃圾及污水处理、病房控温设施、放射性物质防护设施及维护（含放射性污染职业监测或环境监测）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112</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105</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sz w:val="20"/>
                <w:szCs w:val="20"/>
                <w:lang w:val="en-US" w:eastAsia="zh-CN"/>
              </w:rPr>
            </w:pPr>
            <w:r>
              <w:rPr>
                <w:rFonts w:hint="eastAsia" w:ascii="宋体" w:hAnsi="宋体" w:eastAsia="宋体" w:cs="宋体"/>
                <w:i w:val="0"/>
                <w:iCs w:val="0"/>
                <w:color w:val="auto"/>
                <w:kern w:val="0"/>
                <w:sz w:val="20"/>
                <w:szCs w:val="20"/>
                <w:u w:val="none"/>
                <w:lang w:val="en-US" w:eastAsia="zh-CN" w:bidi="ar"/>
              </w:rPr>
              <w:t>不与其他床位费同时收取。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0" w:hRule="atLeast"/>
          <w:jc w:val="center"/>
        </w:trPr>
        <w:tc>
          <w:tcPr>
            <w:tcW w:w="423"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011105000090000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床位费（新生儿）</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指医疗机构对新生儿提供的床位及相关设施。</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所定价格涵盖床单位必备设施，包括但不限于腕带、服装、文档资料及管理、床单位设备及布草、能源消耗、医疗垃圾及污水处理、病房控温设施及维护等所需的人力资源和基本物质资源消耗。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17</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16</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1.早产儿按照纠正胎龄计算出生天数；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2.可与产妇床位费同时收取。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423" w:type="dxa"/>
            <w:vMerge w:val="continue"/>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011105000090001</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床位费（新生儿）-母婴同室新生儿（减收）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指医疗机构对母婴同室新生儿提供的床位及相关设施。</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rPr>
                <w:rFonts w:hint="eastAsia" w:asciiTheme="minorEastAsia" w:hAnsiTheme="minorEastAsia" w:eastAsiaTheme="minorEastAsia" w:cstheme="minorEastAsia"/>
                <w:i w:val="0"/>
                <w:iCs w:val="0"/>
                <w:color w:val="auto"/>
                <w:kern w:val="2"/>
                <w:sz w:val="20"/>
                <w:szCs w:val="20"/>
                <w:u w:val="none"/>
                <w:lang w:val="en-US" w:eastAsia="zh-CN" w:bidi="ar-SA"/>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rPr>
                <w:rFonts w:hint="eastAsia" w:asciiTheme="minorEastAsia" w:hAnsiTheme="minorEastAsia" w:eastAsiaTheme="minorEastAsia" w:cstheme="minorEastAsia"/>
                <w:i w:val="0"/>
                <w:iCs w:val="0"/>
                <w:color w:val="auto"/>
                <w:kern w:val="2"/>
                <w:sz w:val="20"/>
                <w:szCs w:val="20"/>
                <w:u w:val="none"/>
                <w:lang w:val="en-US" w:eastAsia="zh-CN" w:bidi="ar-SA"/>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床位费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011105000100000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新生儿暖箱费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通过各种不同功能的暖箱，保持温度、湿度恒定，达到维持新生儿、早产儿或婴儿基本生命需求的目的。</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所定价格涵盖新生儿床位相关设施、暖箱调节、加湿、皮肤温度监测、秤体重、兼备暖箱与辐射台功能、定期清洁消毒、处理用物等所需的人力资源和基本物质资源消耗。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82</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74</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70</w:t>
            </w:r>
          </w:p>
        </w:tc>
        <w:tc>
          <w:tcPr>
            <w:tcW w:w="3183" w:type="dxa"/>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0" w:lineRule="exact"/>
              <w:ind w:left="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1.不与其他床位费同时收取；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0" w:lineRule="exact"/>
              <w:ind w:left="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2.不足半日按半日收取。</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2" w:hRule="atLeast"/>
          <w:jc w:val="center"/>
        </w:trPr>
        <w:tc>
          <w:tcPr>
            <w:tcW w:w="423" w:type="dxa"/>
            <w:shd w:val="clear" w:color="auto" w:fill="auto"/>
            <w:vAlign w:val="top"/>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27</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011105000110000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家庭病床建床费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根据患者需求，医疗机构派出医务人员改造或指导患者改造床位，使患者部分家庭空间具备作为检查治疗护理场所的各项条件。</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所定价格涵盖医疗机构完成家庭病床建床建档（含建立病历）的人力资源和基本物质资源消耗。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4.5</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4.3</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收费范围限国家卫生健康主管部门准许提供的家庭病床建床服务。建床后，医疗机构继续上门提供巡诊、护理等各类医疗服务的，按照“上门服务费+医疗服务价格”的方式收费即可，不再以“家庭病床+某服务”的方式设立医疗服务价格项目。</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Theme="minorEastAsia" w:hAnsiTheme="minorEastAsia" w:eastAsiaTheme="minorEastAsia" w:cstheme="minorEastAsia"/>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治疗费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1"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 xml:space="preserve"> 28      </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多学科诊疗费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征询患者同意，在门诊及住院期间，针对疑难复杂疾病，由两个及以上相关临床学科，具备副主任（中）医师及以上资质的专家组成工作组，共同对患者病情进行问诊、综合评估、分析及诊断，制定全面诊疗方案的医疗服务。</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综合评估、讨论分析病情、诊断、制定综合诊疗方案、开具处方医嘱（治疗单、检查检验单）、病历书写、病情告知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428</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404</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1.不与各类门诊诊查费同时收取；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2.收费范围限国家卫生健康主管部门准许开展的多学科诊疗服务；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3.计算学科数量时，药学、护理及患者住院所在学科不作为单独临床学科计算；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4.门诊诊查时间每次不少于20分钟，住院诊查时间每次不少于30分钟。</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29</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指因患者病情需要，在科室间进行的临床多学科参与会诊制定诊疗方案。</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所定价格涵盖病史采集、查体、一般物理检查、阅读分析检查检验结果、病情分析、提供诊疗方案、开具处方医嘱（治疗单、检查检验单）等所需的人力资源和基本物质资源消耗。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护理、药学不作为单独临床学科计价。</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423"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29</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011106000020001</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会诊费（院内）-副主任医师（加收）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指因患者病情需要，在科室间请副主任医师进行的临床多学科参与会诊制定诊疗方案。</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jc w:val="center"/>
        </w:trPr>
        <w:tc>
          <w:tcPr>
            <w:tcW w:w="423" w:type="dxa"/>
            <w:vMerge w:val="continue"/>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011106000020002</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会诊费（院内）-正主任医师（加收）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指因患者病情需要，在科室间请正主任医师进行的临床多学科参与会诊制定诊疗方案。</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5" w:hRule="atLeast"/>
          <w:jc w:val="center"/>
        </w:trPr>
        <w:tc>
          <w:tcPr>
            <w:tcW w:w="423"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30</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指因患者病情需要，在医院间进行的临床多学科参与会诊制定诊疗方案。</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所定价格涵盖病史采集、查体、一般物理检查、阅读分析检查检验结果、病情分析、提供诊疗方案等所需的人力资源和基本物质资源消耗。（不含通勤、住宿等非医疗成本）</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1.本埠院外会诊按照“上门服务费+会诊费（院外）”的方式收费；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2.护理、药学不作为单独临床学科计价；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3.外埠院外会诊实行市场调节价。</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423" w:type="dxa"/>
            <w:vMerge w:val="continue"/>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011106000030001</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会诊费（院外）-副主任医师（加收）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指因患者病情需要，在医院间请副主任医师进行的进行的临床多学科参与会诊制定诊疗方案。</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30</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011106000030002</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会诊费（院外）-正主任医师（加收）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指因患者病情需要，在医院间请正主任医师进行的进行的临床多学科参与会诊制定诊疗方案。</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学科·次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0"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31</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011106000040000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会诊费（远程会诊）</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指因患者病情需要，邀请方和受邀方医疗机构通过可视视频实时、同步交互的方式开展的远程会诊。</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通过互联网远程医疗网络系统搭建、维护、邀约、应邀、可视视频实时同步交互、资料上传、问诊、阅读分析检查检验结果、在线讨论病情、提供诊疗方案、出具诊疗意见报告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1.受邀方为外省医疗机构的，执行受邀方收费标准；受邀方为本省公立医疗机构的，最高收费不超过600元</w:t>
            </w:r>
            <w:r>
              <w:rPr>
                <w:rFonts w:hint="eastAsia" w:ascii="宋体" w:hAnsi="宋体" w:eastAsia="宋体" w:cs="宋体"/>
                <w:i w:val="0"/>
                <w:iCs w:val="0"/>
                <w:color w:val="auto"/>
                <w:kern w:val="0"/>
                <w:sz w:val="20"/>
                <w:szCs w:val="20"/>
                <w:u w:val="none"/>
                <w:lang w:val="en-US" w:eastAsia="zh"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2.收费范围限国卫医发〔2018〕25号《互联网诊疗管理办法（试行）》、《互联网医院管理办法（试行）》、《互联网医院基本标准（试行）》准许开展的诊疗服务</w:t>
            </w:r>
            <w:r>
              <w:rPr>
                <w:rFonts w:hint="eastAsia" w:ascii="宋体" w:hAnsi="宋体" w:eastAsia="宋体" w:cs="宋体"/>
                <w:i w:val="0"/>
                <w:iCs w:val="0"/>
                <w:color w:val="auto"/>
                <w:kern w:val="0"/>
                <w:sz w:val="20"/>
                <w:szCs w:val="20"/>
                <w:u w:val="none"/>
                <w:lang w:val="en-US" w:eastAsia="zh" w:bidi="ar"/>
              </w:rPr>
              <w: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3.护理、药学不作为单独临床学科计价。</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32</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011107000010000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上门服务费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根据患者需求，医疗机构派出医务人员，前往患者指定地点为其提供合法合规的医疗服务。</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所定价格涵盖医疗机构派出医务人员的交通成本、人力资源和基本物质资源消耗。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次·人</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74" w:type="dxa"/>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50</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1.基层医疗机构执行政府指导价，县级及以上公立医疗机构实行市场调节价；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 xml:space="preserve">2.计价单位“次·人”中的“人”是指每名专业人员。例如由1名医师、1名护理人员同时提供上门服务的，收费为“上门服务费”价格×2；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上门服务”是指医疗机构以质量安全为前提，为各类群体上门提供医疗服务，收费采取“上门服务费+医疗服务价格”的方式，即上门提供服务本身收取一次“上门服务费”，提供的医疗服务、药品、医用耗材等，收费适用本医疗服务执行的医药价格政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4.对于</w:t>
            </w:r>
            <w:r>
              <w:rPr>
                <w:rFonts w:hint="eastAsia" w:ascii="宋体" w:hAnsi="宋体" w:eastAsia="宋体" w:cs="宋体"/>
                <w:i w:val="0"/>
                <w:iCs w:val="0"/>
                <w:color w:val="auto"/>
                <w:spacing w:val="-6"/>
                <w:kern w:val="0"/>
                <w:sz w:val="20"/>
                <w:szCs w:val="20"/>
                <w:u w:val="none"/>
                <w:lang w:val="en-US" w:eastAsia="zh-CN" w:bidi="ar"/>
              </w:rPr>
              <w:t>医疗机构上门提供的医疗服务，已通过基本公共卫生服务家庭医生签约、长期护理保险等方式提供经费保障渠道的，不得额外收取上门服务费。</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诊察费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33</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011108000010000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远程监测费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指医技人员为院外患者提供的远程实时监测服务。</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所定价格涵盖信息核实、检查设备功能、安置远程监测设备、指导使用、程控打开远程监测设备、数据信息采集、分析判断、结果反馈、提供建议，指导随访等所需的人力资源和基本物质资源消耗。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68</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1.具备远程实时监测功能，且实时传输数据至医院端供医生了解病情的装置使用时可收取该项费用。仅具有数据存储功能，不能实时传输数据的设备不得收取此费用；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2.远程监测范围仅限国家卫生健康主管部门准许开展的心电监护、除颤器监护、起搏器监护等项目。</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检查费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34</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011109000010000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安宁疗护费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指为疾病终末期或老年患者在临终前提供身体、心理、精神等方面的诊查、护理、照料和人文关怀等服务，控制痛苦和不适症状，提高生命质量，帮助患者舒适、安详、有尊严地离世。</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所定价格涵盖患者病情评估、诊查、分级护理、各类评估工具使用、心理及精神疏导、情绪安抚、沟通陪伴、临终关怀、个性化支持等所需的人力资源和基本物质资源消耗。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247</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222</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“安宁疗护”中所含具体服务事项，以国家卫生行业主管部门文件为准；不与各类“住院诊查费”和“分级护理”同时收费。</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其他费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jc w:val="center"/>
        </w:trPr>
        <w:tc>
          <w:tcPr>
            <w:tcW w:w="423" w:type="dxa"/>
            <w:vMerge w:val="restart"/>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35</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011109000020000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救护车转运费</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指医疗机构（含120急救中心）利用救护车转运患者的使用费用。</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所定价格涵盖含救护车交通往返相关管理费、折旧费、消毒费、油耗、司机劳务等所需的人力资源和基本物质资源消耗。不含过路过桥费。</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公里</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本项目按照基础费用和里程费用相结合的计价方式收费。基础费用为40元（五公里内），里程费为每公里2元（超过五公里）；2.急危重症需要使用ECMO、有创呼吸机等生命维持系统带机转运的，按照“救护车转运费+相应设备治疗价格项目”计费；3.非急救转运参照本项目收费；4.往返里程为患者上车救护地点至救治目的地距离的二倍。</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其他费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423" w:type="dxa"/>
            <w:vMerge w:val="continue"/>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011109000020001</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救护车转运费-高层人力转运加收（加收）</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指医疗机构（含120急救中心）高层人力转运患者后，利用救护车转运患者的使用费用。</w:t>
            </w:r>
          </w:p>
        </w:tc>
        <w:tc>
          <w:tcPr>
            <w:tcW w:w="2880"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层</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318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指二层及以上无电梯人力转运。</w:t>
            </w: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其他费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atLeast"/>
          <w:jc w:val="center"/>
        </w:trPr>
        <w:tc>
          <w:tcPr>
            <w:tcW w:w="42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36</w:t>
            </w:r>
          </w:p>
        </w:tc>
        <w:tc>
          <w:tcPr>
            <w:tcW w:w="172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011109000030000</w:t>
            </w:r>
          </w:p>
        </w:tc>
        <w:tc>
          <w:tcPr>
            <w:tcW w:w="123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航空医疗转运</w:t>
            </w:r>
          </w:p>
        </w:tc>
        <w:tc>
          <w:tcPr>
            <w:tcW w:w="3345"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指医疗机构（含120急救中心）利用各类航空器转运患者的使用费用。</w:t>
            </w:r>
          </w:p>
        </w:tc>
        <w:tc>
          <w:tcPr>
            <w:tcW w:w="288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所定价格涵盖航空器交通往返相关管理费、折旧费、消毒费、油耗、司机劳务等所需的人力资源和基本物质资源消耗。</w:t>
            </w:r>
          </w:p>
        </w:tc>
        <w:tc>
          <w:tcPr>
            <w:tcW w:w="570"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89"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4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574"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3183"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64"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93" w:type="dxa"/>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其他费</w:t>
            </w:r>
          </w:p>
        </w:tc>
      </w:tr>
    </w:tbl>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仿宋_GB2312" w:cs="Times New Roman"/>
          <w:b/>
          <w:bCs/>
          <w:color w:val="auto"/>
          <w:sz w:val="30"/>
          <w:szCs w:val="30"/>
          <w:lang w:val="en-US" w:eastAsia="zh-CN"/>
        </w:rPr>
      </w:pPr>
      <w:r>
        <w:rPr>
          <w:rFonts w:hint="default" w:ascii="Times New Roman" w:hAnsi="Times New Roman" w:eastAsia="黑体" w:cs="Times New Roman"/>
          <w:b w:val="0"/>
          <w:bCs w:val="0"/>
          <w:color w:val="auto"/>
          <w:sz w:val="32"/>
          <w:szCs w:val="32"/>
          <w:lang w:val="en-US" w:eastAsia="zh-CN"/>
        </w:rPr>
        <w:t>附件2</w:t>
      </w:r>
    </w:p>
    <w:p>
      <w:pPr>
        <w:ind w:firstLine="880" w:firstLineChars="200"/>
        <w:jc w:val="center"/>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整合后超声检查类医疗服务价格项目表</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 xml:space="preserve">使用说明： </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3.“扩展项”指同一项目下以不同方式提供或在不同场景应用时，只扩展价格项目适用范围、不额外加价的一类子项，子项的价格按主项目执行。</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4.“基本物耗”指原则上限于不应或不必要与医疗服务项目分割的易耗品，包括但不限于各类消杀用品、储存用品、清洁用品、个人防护用品、垃圾处理用品、润滑剂、护（尿）垫、治疗巾（单）、中单、标签、无菌设备保护套、耦合剂、可复用的操作器具、软件（版权、开发、购买）成本等。基本物耗成本计入项目价格，不另行收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5.“床旁检查”指因患者病情危重或无法自行前往检查科室，由检查科室人员移动设备至患者病床旁进行检查。                                                                                                                  6.“B型超声检查”和“彩色多普勒超声检查（常规）”中的“部位”，指颅脑、涎腺（含腮腺、颌下腺、引流区淋巴结）、甲状腺（含甲状旁腺、颈部淋巴结）、五官、胸部、腹部（含肝胆胰脾）、胃肠道（含胃、大肠、小肠、肠系膜）、腹膜后（含肾上腺、腹膜后淋巴结）、泌尿系（含肾、输尿管、膀胱、前列腺）、女性生殖系统、男性生殖系统、盆底、乳腺（双侧，含引流区淋巴结）、关节、体表软组织、浅表淋巴结（含颈部、腋窝、腹腔、腹股沟）、周围神经。关节具体指：单个大关节（如：肩、肘、腕、髋、膝、踝关节）、颈椎、胸椎、腰椎、单侧手掌部及指间关节、单侧足跖趾及趾间关节、单侧颞颌关节、单侧肩锁关节、胸锁关节。应开展双侧超声检查，实际情况中单侧开展的，减半收费。                                                                                                                                                                                                                      7.“彩色多普勒超声检查（血管）”和“超声造影（血管）”中的“部位”，指双侧球后血管、双侧颈动脉、双侧锁骨下动脉、双侧椎动脉、腹主动脉、肠系膜动脉、子宫动脉、单侧上肢动脉、单侧下肢动脉、双侧肾动脉、腹腔动脉（含腹腔动脉、脾动脉、肝动脉）、双侧髂动脉、双侧足动脉、双侧颈静脉、单侧上肢静脉、下腔静脉、肝静脉、门脉系统（含门静脉、脾静脉、肠系膜上静脉）、双侧肾静脉、双侧髂静脉、单侧下肢静脉、体表血管、双侧精索静脉。应开展双侧超声血管检查，实际情况中单侧开展的，减半收费。                                                                                                                                                                                                                                                                                                                                          8.“对比剂”含药品及非药品类对比剂，非药品类对比剂包含在价格构成中，药品类对比剂按药品管理收费。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9.涉及的对比分析类检查类项目，可按照实际检查次数收费，例如胆囊和胆道收缩功能检查、膀胱残余尿量检查等，在出具报告时体现两次检查的不同结论。                                                                                                                                            10.“人工智能辅助诊断”是指应用人工智能技术辅助进行的超声检查诊断，不得与主项目同时收费。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 xml:space="preserve">11.涉及“包括……”“……等”的，属于开放型表述，所指对象不仅局限于表述中列明的事项，也包括未列明的同类事项，以国家级技术规范、临床指南或专家共识中的明确定性为依据。 </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rPr>
          <w:rFonts w:hint="eastAsia"/>
          <w:lang w:val="en-US" w:eastAsia="zh-CN"/>
        </w:rPr>
      </w:pPr>
      <w:r>
        <w:rPr>
          <w:rFonts w:hint="eastAsia" w:ascii="仿宋" w:hAnsi="仿宋" w:eastAsia="仿宋" w:cs="仿宋"/>
          <w:b w:val="0"/>
          <w:bCs w:val="0"/>
          <w:i w:val="0"/>
          <w:iCs w:val="0"/>
          <w:color w:val="auto"/>
          <w:kern w:val="0"/>
          <w:sz w:val="24"/>
          <w:szCs w:val="24"/>
          <w:u w:val="none"/>
          <w:lang w:val="en-US" w:eastAsia="zh-CN" w:bidi="ar"/>
        </w:rPr>
        <w:t>12.术中需行各类超声检查的，按本表中相应项目进行收费。</w:t>
      </w:r>
    </w:p>
    <w:tbl>
      <w:tblPr>
        <w:tblStyle w:val="8"/>
        <w:tblW w:w="16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81"/>
        <w:gridCol w:w="1740"/>
        <w:gridCol w:w="1440"/>
        <w:gridCol w:w="3090"/>
        <w:gridCol w:w="2910"/>
        <w:gridCol w:w="540"/>
        <w:gridCol w:w="555"/>
        <w:gridCol w:w="570"/>
        <w:gridCol w:w="555"/>
        <w:gridCol w:w="3210"/>
        <w:gridCol w:w="555"/>
        <w:gridCol w:w="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blHeader/>
          <w:jc w:val="center"/>
        </w:trPr>
        <w:tc>
          <w:tcPr>
            <w:tcW w:w="381"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74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44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09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91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4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680"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21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5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55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blHeader/>
          <w:jc w:val="center"/>
        </w:trPr>
        <w:tc>
          <w:tcPr>
            <w:tcW w:w="381"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74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44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09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91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4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21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5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5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bCs/>
                <w:i w:val="0"/>
                <w:iCs w:val="0"/>
                <w:color w:val="auto"/>
                <w:kern w:val="0"/>
                <w:sz w:val="20"/>
                <w:szCs w:val="20"/>
                <w:u w:val="none"/>
                <w:lang w:val="en-US" w:eastAsia="zh-CN" w:bidi="ar"/>
              </w:rPr>
              <w:t>1</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012302010010000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A型超声检查</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通过A型超声技术，对组织器官进行超声成像及诊断。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所定</w:t>
            </w:r>
            <w:r>
              <w:rPr>
                <w:rFonts w:hint="eastAsia" w:ascii="宋体" w:hAnsi="宋体" w:eastAsia="宋体" w:cs="宋体"/>
                <w:i w:val="0"/>
                <w:iCs w:val="0"/>
                <w:color w:val="auto"/>
                <w:spacing w:val="-6"/>
                <w:kern w:val="0"/>
                <w:sz w:val="20"/>
                <w:szCs w:val="20"/>
                <w:u w:val="none"/>
                <w:lang w:val="en-US" w:eastAsia="zh-CN" w:bidi="ar"/>
              </w:rPr>
              <w:t>价格涵盖设备调试、超声检查、数据分析、数据存储、出具诊断结果（含图文报告）等所需的人力资源和基本物质资源消耗。</w:t>
            </w:r>
          </w:p>
        </w:tc>
        <w:tc>
          <w:tcPr>
            <w:tcW w:w="5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单侧</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8.5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2"/>
                <w:sz w:val="20"/>
                <w:szCs w:val="20"/>
                <w:u w:val="none"/>
                <w:lang w:val="en-US" w:eastAsia="zh-CN" w:bidi="ar-SA"/>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2</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28</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Theme="minorEastAsia" w:hAnsiTheme="minorEastAsia" w:eastAsiaTheme="minorEastAsia" w:cstheme="minorEastAsia"/>
                <w:b w:val="0"/>
                <w:bCs w:val="0"/>
                <w:i w:val="0"/>
                <w:iCs w:val="0"/>
                <w:color w:val="000000"/>
                <w:kern w:val="2"/>
                <w:sz w:val="20"/>
                <w:szCs w:val="20"/>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通过B型超声技术，在床旁对组织器官及病灶进行超声成像及诊断。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2</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012302020010011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B型超声检查-腔内检查（加收）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通过B型超声技术，对组织器官腔内及病灶进行超声成像及诊断。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Theme="minorEastAsia" w:hAnsiTheme="minorEastAsia" w:eastAsiaTheme="minorEastAsia" w:cstheme="minorEastAsia"/>
                <w:b w:val="0"/>
                <w:bCs w:val="0"/>
                <w:i w:val="0"/>
                <w:iCs w:val="0"/>
                <w:color w:val="000000"/>
                <w:kern w:val="2"/>
                <w:sz w:val="20"/>
                <w:szCs w:val="20"/>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012302020010021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B型超声检查-立体成像（加收）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通过B型超声技术，对组织器官及病灶进行超声立体成像及诊断。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Theme="minorEastAsia" w:hAnsiTheme="minorEastAsia" w:eastAsiaTheme="minorEastAsia" w:cstheme="minorEastAsia"/>
                <w:b w:val="0"/>
                <w:bCs w:val="0"/>
                <w:i w:val="0"/>
                <w:iCs w:val="0"/>
                <w:color w:val="000000"/>
                <w:kern w:val="2"/>
                <w:sz w:val="20"/>
                <w:szCs w:val="20"/>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012302020010031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B型超声检查-排卵监测（减收）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通过B型超声技术，进行排卵监测。</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rPr>
                <w:rFonts w:hint="eastAsia" w:asciiTheme="minorEastAsia" w:hAnsiTheme="minorEastAsia" w:eastAsiaTheme="minorEastAsia" w:cstheme="minorEastAsia"/>
                <w:b w:val="0"/>
                <w:bCs w:val="0"/>
                <w:i w:val="0"/>
                <w:iCs w:val="0"/>
                <w:color w:val="000000"/>
                <w:kern w:val="2"/>
                <w:sz w:val="20"/>
                <w:szCs w:val="20"/>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Theme="minorEastAsia" w:hAnsiTheme="minorEastAsia" w:eastAsiaTheme="minorEastAsia" w:cstheme="minorEastAsia"/>
                <w:b w:val="0"/>
                <w:bCs w:val="0"/>
                <w:i w:val="0"/>
                <w:iCs w:val="0"/>
                <w:color w:val="000000"/>
                <w:kern w:val="2"/>
                <w:sz w:val="20"/>
                <w:szCs w:val="20"/>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012302020010100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B型超声检查-人工智能辅助诊断（扩展）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通过B型超声技术，对组织器官及病灶进行超声成像及诊断。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28</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Theme="minorEastAsia" w:hAnsiTheme="minorEastAsia" w:eastAsiaTheme="minorEastAsia" w:cstheme="minorEastAsia"/>
                <w:b w:val="0"/>
                <w:bCs w:val="0"/>
                <w:i w:val="0"/>
                <w:iCs w:val="0"/>
                <w:color w:val="000000"/>
                <w:kern w:val="2"/>
                <w:sz w:val="20"/>
                <w:szCs w:val="20"/>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2"/>
                <w:sz w:val="20"/>
                <w:szCs w:val="20"/>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Theme="minorEastAsia" w:hAnsiTheme="minorEastAsia" w:eastAsiaTheme="minorEastAsia" w:cstheme="minorEastAsia"/>
                <w:b w:val="0"/>
                <w:bCs w:val="0"/>
                <w:i w:val="0"/>
                <w:iCs w:val="0"/>
                <w:color w:val="000000"/>
                <w:kern w:val="0"/>
                <w:sz w:val="20"/>
                <w:szCs w:val="20"/>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3</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通过彩色多普勒超声技术，在床旁对组织器官及病灶进行超声成像及诊断。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012302030010011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彩色多普勒超声检查（常规）-腔内检查（加收）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通过彩色多普勒超声技术，对组织器官腔内及病灶进行超声成像及诊断。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30</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28</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012302030010021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彩色多普勒超声检查（常规）-立体成像（加收）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通过彩色多普勒超声技术，对组织器官及病灶进行超声立体成像及诊断。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012302030010031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彩色多普勒超声检查（常规）-排卵监测（减收）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通过彩色多普勒超声技术，进行排卵监测。</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27</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24</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23</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Theme="minorEastAsia" w:hAnsiTheme="minorEastAsia" w:eastAsiaTheme="minorEastAsia" w:cstheme="minorEastAsia"/>
                <w:b w:val="0"/>
                <w:bCs w:val="0"/>
                <w:i w:val="0"/>
                <w:iCs w:val="0"/>
                <w:color w:val="000000"/>
                <w:kern w:val="2"/>
                <w:sz w:val="20"/>
                <w:szCs w:val="20"/>
                <w:lang w:val="en-US" w:eastAsia="zh-CN"/>
              </w:rPr>
              <w:t>3</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通过彩色多普勒超声技术，对组织器官及病灶进行超声成像及诊断。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81</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通过彩色多普勒超声技术（包括M型超声），观察测量心脏及大血管的形态结构、运动状态、血流动力学情况进行综合分析，作出诊断。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205</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194</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通过彩色多普勒超声技术（包括M型超声），在床旁观察测量心脏及大血管的形态结构、运动状态、血流动力学情况进行综合分析，作出诊断。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012302030020011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彩色多普勒超声检查（心脏）-心脏负荷超声检查（加收）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通过彩色多普勒超声技术（包括M型超声），观察测量负荷心脏及大血管的形态结构、运动状态、血流动力学情况进行综合分析，作出诊断。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103</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通过彩色多普勒超声技术（包括M型超声），观察测量心脏及大血管的形态结构、运动状态、血流动力学情况进行综合分析，作出诊断。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205</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194</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012302030021100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彩色多普勒超声检查（心脏）-彩色多普勒超声心动图检查（经食管）（扩展）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通过彩色多普勒超声技术（包括M型超声），观察测量心脏及大血管的形态结构、运动状态、血流动力学情况进行综合分析，作出诊断。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205</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194</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012302030030000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彩色多普勒超声检查（血管）</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通过彩色多普勒超声技术，对相关血管进行超声成像及诊断。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012302030030001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彩色多普勒超声检查（血管）-床旁检查（加收）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通过彩色多普勒超声技术，在床旁对相关血管进行超声成像及诊断。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012302030030100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彩色多普勒超声检查（血管）-人工智能辅助诊断（扩展）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通过彩色多普勒超声技术，对相关血管进行超声成像及诊断。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012302030040000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彩色多普勒超声检查（弹性成像）</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通过彩色多普勒超声弹性成像技术，对病变组织器官及病灶进行超声弹性成像及诊断。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100</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94</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012302030040001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彩色多普勒超声检查（弹性成像）-床旁检查（加收）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通过彩色多普勒超声弹性成像技术，在床旁对病变组织器官及病灶进行超声弹性成像及诊断。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val="0"/>
                <w:bCs w:val="0"/>
                <w:i w:val="0"/>
                <w:iCs w:val="0"/>
                <w:color w:val="auto"/>
                <w:kern w:val="0"/>
                <w:sz w:val="20"/>
                <w:szCs w:val="20"/>
                <w:u w:val="none"/>
                <w:lang w:val="en-US" w:eastAsia="zh"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b w:val="0"/>
                <w:bCs w:val="0"/>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012302030040100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彩色多普勒超声检查（弹性成像）-人工智能辅助诊断（扩展）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通过彩色多普勒超声弹性成像技术，对病变组织器官及病灶进行超声弹性成像及诊断。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100</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94</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通过彩色多普勒超声技术，对胎儿进行超声成像及诊断。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129</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122</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b w:val="0"/>
                <w:bCs w:val="0"/>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通过彩色多普勒超声技术，在床旁对胎儿进行超声成像及诊断。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012302030050011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彩色多普勒超声检查（胎儿）-腔内检查（加收）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通过彩色多普勒超声技术，对胎儿腔内进行超声成像及诊断。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17</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16</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通过彩色多普勒超声技术，对胎儿进行超声成像及诊断。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129</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122</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012302030051100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彩色多普勒超声检查（胎儿）-早孕期筛查（扩展）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通过彩色多普勒超声技术，进行早孕期筛查。</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129</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122</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不得与主项目同时收取。</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012302030052100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彩色多普勒超声检查（胎儿）-胎儿血流动力学检查（扩展）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通过彩色多普勒超声技术，进行胎儿血流动力学检查及诊断。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143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129</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122</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012302030060000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通过彩色多普勒超声技术，对胎儿组织器官进行超声成像及诊断，排查胎儿结构畸形等异常情况。</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304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274</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258</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“彩色多普勒超声检查（胎儿系统性筛查）”指通过彩色多普勒超声对胎儿系统性（神经、呼吸、消化、心血管、脐带胎盘等）结构性畸形的筛查，胎儿血流动力学及胎儿器官发育情况的检查。</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012302030060001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彩色多普勒超声检查（胎儿系统性筛查）-可疑胎儿产前诊断（加收）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通过彩色多普勒超声技术，对可疑胎儿组织器官进行超声成像及诊断，排查胎儿结构畸形等异常情况。</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91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77</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012302030060100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通过彩色多普勒超声技术，对胎儿组织器官进行超声成像及诊断，排查胎儿结构畸形等异常情况。</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304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274</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258</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012302030070000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彩色多普勒超声检查（胎儿心脏）</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通过各种超声技术，观察测量胎儿心脏及大血管的形态结构、运动状态、血流动力学情况，观测左右心室收缩功能和舒张功能参数，进行综合分析，作出诊断。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247</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210</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012302030070100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彩色多普勒超声检查（胎儿心脏）-人工智能辅助诊断（扩展）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通过各种超声技术，观察测量胎儿心脏及大血管的形态结构、运动状态、血流动力学情况，观测左右心室收缩功能和舒张功能参数，进行综合分析，作出诊断。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247</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222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210</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012302040010000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超声造影（常规）</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通过超声检查，对使用对比剂后器官、组织和病灶的大小、形态、回声、血流信息等情况进行成像及分析，并作出诊断。（不含穿刺/插管）</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012302040010001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超声造影（常规）-立体成像（加收）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通过超声检查，对使用对比剂后器官、组织和病灶的大小、形态、回声、血流信息等情况进行立体成像及分析，并作出诊断。（不含穿刺/插管）</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012302040010100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超声造影（常规）-人工智能辅助诊断（扩展）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spacing w:val="-6"/>
                <w:kern w:val="0"/>
                <w:sz w:val="20"/>
                <w:szCs w:val="20"/>
                <w:u w:val="none"/>
                <w:lang w:val="en-US" w:eastAsia="zh-CN" w:bidi="ar"/>
              </w:rPr>
              <w:t>通过超声检查，对使用对比剂后器官、组织和病灶的大小、形态、回声、血流信息等情况进行成像及分析，并作出诊断。（不含穿刺/插</w:t>
            </w:r>
            <w:r>
              <w:rPr>
                <w:rFonts w:hint="eastAsia" w:ascii="宋体" w:hAnsi="宋体" w:eastAsia="宋体" w:cs="宋体"/>
                <w:i w:val="0"/>
                <w:iCs w:val="0"/>
                <w:color w:val="auto"/>
                <w:kern w:val="0"/>
                <w:sz w:val="20"/>
                <w:szCs w:val="20"/>
                <w:u w:val="none"/>
                <w:lang w:val="en-US" w:eastAsia="zh-CN" w:bidi="ar"/>
              </w:rPr>
              <w:t>管）</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012302040020000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超声造影（血管）</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通过超声检查，对使用对比剂后血管的形态、血流、血管病变等信息进行成像及分析，并作出诊断。（不含穿刺/插管）</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012302040020100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超声造影（血管）-人工智能辅助诊断（扩展）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通过超声检查，对使用对比剂后血管的形态、血流、血管病变等信息进行成像及分析，并作出诊断。（不含穿刺/插管）</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124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112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105</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012302050010000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多普勒检查（周围血管）</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利用多普勒技术，检测周围血管形态、血流速度和方向来评估血管的功能和病变情况，并作出诊断。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所定价格涵盖设备调试、超声测量、获取数据、数据分析、数据储存、出具诊断结果（含图文报告）等步骤所需的人力资源、设备运转成本消耗与基本物质资源消耗。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43</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41</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“多普勒检查（周围血管）”指根据临床需要，多普勒超声对周围血管内皮功能、硬化状态、静脉回流、踝/趾臂指数等指标的检测。</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012302050010001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多普勒检查（周围血管）-床旁检查（加收）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通过B型超声技术，在床旁对组织器官及病灶进行立体成像超声成像及诊断。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012302050010100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多普勒检查（周围血管）-人工智能辅助诊断（扩展）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利用多普勒技术，检测周围血管形态、血流速度和方向来评估血管的功能和病变情况，并作出诊断。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所定价格涵盖设备调试、超声测量、获取数据、数据分析、数据储存、出具诊断结果（含图文报告）等步骤所需的人力资源、设备运转成本消耗与基本物质资源消耗。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43</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41</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38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012302050020000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通过多普勒技术，测定动脉血流方向及速度，对颅底动脉血流动力学进行评价并作出诊断。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68</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38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w:t>
            </w: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012302050020001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多普勒检查（颅内血管）-床旁检查（加收）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通过多普勒技术，在床旁测定动脉血流方向及速度，对颅底动脉血流动力学进行评价并作出诊断。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29</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26</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25</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在同一次检查中仅加收一次。</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012302050020011</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多普勒检查（颅内血管）-特殊方式检查（加收）</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w:t>
            </w:r>
            <w:r>
              <w:rPr>
                <w:rFonts w:hint="eastAsia" w:ascii="宋体" w:hAnsi="宋体" w:eastAsia="宋体" w:cs="宋体"/>
                <w:i w:val="0"/>
                <w:iCs w:val="0"/>
                <w:color w:val="auto"/>
                <w:spacing w:val="-6"/>
                <w:kern w:val="0"/>
                <w:sz w:val="20"/>
                <w:szCs w:val="20"/>
                <w:u w:val="none"/>
                <w:lang w:val="en-US" w:eastAsia="zh-CN" w:bidi="ar"/>
              </w:rPr>
              <w:t>过多普勒技术，测定动脉血流方向及速度并行特殊方式检查，对颅底动脉血流动力学进行评价并作出诊断</w:t>
            </w:r>
            <w:r>
              <w:rPr>
                <w:rFonts w:hint="eastAsia" w:ascii="宋体" w:hAnsi="宋体" w:eastAsia="宋体" w:cs="宋体"/>
                <w:i w:val="0"/>
                <w:iCs w:val="0"/>
                <w:color w:val="auto"/>
                <w:kern w:val="0"/>
                <w:sz w:val="20"/>
                <w:szCs w:val="20"/>
                <w:u w:val="none"/>
                <w:lang w:val="en-US" w:eastAsia="zh-CN" w:bidi="ar"/>
              </w:rPr>
              <w:t>。</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43</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41</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特殊方式检查指发泡试验、CO</w:t>
            </w:r>
            <w:r>
              <w:rPr>
                <w:rFonts w:hint="eastAsia" w:ascii="宋体" w:hAnsi="宋体" w:eastAsia="宋体" w:cs="宋体"/>
                <w:i w:val="0"/>
                <w:iCs w:val="0"/>
                <w:color w:val="auto"/>
                <w:kern w:val="0"/>
                <w:sz w:val="28"/>
                <w:szCs w:val="28"/>
                <w:u w:val="none"/>
                <w:vertAlign w:val="subscript"/>
                <w:lang w:val="en-US" w:eastAsia="zh" w:bidi="ar"/>
              </w:rPr>
              <w:t>2</w:t>
            </w:r>
            <w:r>
              <w:rPr>
                <w:rFonts w:hint="eastAsia" w:ascii="宋体" w:hAnsi="宋体" w:eastAsia="宋体" w:cs="宋体"/>
                <w:i w:val="0"/>
                <w:iCs w:val="0"/>
                <w:color w:val="auto"/>
                <w:kern w:val="0"/>
                <w:sz w:val="20"/>
                <w:szCs w:val="20"/>
                <w:u w:val="none"/>
                <w:lang w:val="en-US" w:eastAsia="zh-CN" w:bidi="ar"/>
              </w:rPr>
              <w:t>试验。</w:t>
            </w: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多普勒检查（颅内血管）-人工智能辅助诊断（扩展）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通过多普勒技术，测定动脉血流方向及速度，对颅底动脉血流动力学进行评价并作出诊断。</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68</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jc w:val="center"/>
        </w:trPr>
        <w:tc>
          <w:tcPr>
            <w:tcW w:w="38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b/>
                <w:bCs/>
                <w:i w:val="0"/>
                <w:iCs w:val="0"/>
                <w:color w:val="auto"/>
                <w:kern w:val="0"/>
                <w:sz w:val="20"/>
                <w:szCs w:val="20"/>
                <w:u w:val="none"/>
                <w:lang w:val="en-US" w:eastAsia="zh-CN" w:bidi="ar"/>
              </w:rPr>
            </w:pPr>
          </w:p>
        </w:tc>
        <w:tc>
          <w:tcPr>
            <w:tcW w:w="17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w:t>
            </w:r>
            <w:r>
              <w:rPr>
                <w:rFonts w:hint="eastAsia" w:ascii="宋体" w:hAnsi="宋体" w:eastAsia="宋体" w:cs="宋体"/>
                <w:i w:val="0"/>
                <w:iCs w:val="0"/>
                <w:color w:val="auto"/>
                <w:kern w:val="0"/>
                <w:sz w:val="21"/>
                <w:szCs w:val="21"/>
                <w:u w:val="none"/>
                <w:lang w:val="en-US" w:eastAsia="zh-CN" w:bidi="ar"/>
              </w:rPr>
              <w:t>5</w:t>
            </w:r>
            <w:r>
              <w:rPr>
                <w:rFonts w:hint="eastAsia" w:ascii="宋体" w:hAnsi="宋体" w:eastAsia="宋体" w:cs="宋体"/>
                <w:i w:val="0"/>
                <w:iCs w:val="0"/>
                <w:color w:val="auto"/>
                <w:kern w:val="0"/>
                <w:sz w:val="20"/>
                <w:szCs w:val="20"/>
                <w:u w:val="none"/>
                <w:lang w:val="en-US" w:eastAsia="zh-CN" w:bidi="ar"/>
              </w:rPr>
              <w:t>0021100</w:t>
            </w:r>
          </w:p>
        </w:tc>
        <w:tc>
          <w:tcPr>
            <w:tcW w:w="14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多普勒检查（颅内血管）-栓子监测（扩展）</w:t>
            </w:r>
          </w:p>
        </w:tc>
        <w:tc>
          <w:tcPr>
            <w:tcW w:w="309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通过多普勒技术进行栓子监测。</w:t>
            </w:r>
          </w:p>
        </w:tc>
        <w:tc>
          <w:tcPr>
            <w:tcW w:w="29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80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72</w:t>
            </w:r>
          </w:p>
        </w:tc>
        <w:tc>
          <w:tcPr>
            <w:tcW w:w="55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val="0"/>
                <w:bCs w:val="0"/>
                <w:i w:val="0"/>
                <w:iCs w:val="0"/>
                <w:color w:val="000000"/>
                <w:kern w:val="2"/>
                <w:sz w:val="20"/>
                <w:szCs w:val="20"/>
                <w:lang w:val="en-US" w:eastAsia="zh-CN"/>
              </w:rPr>
            </w:pPr>
            <w:r>
              <w:rPr>
                <w:rFonts w:hint="eastAsia" w:ascii="宋体" w:hAnsi="宋体" w:eastAsia="宋体" w:cs="宋体"/>
                <w:i w:val="0"/>
                <w:iCs w:val="0"/>
                <w:color w:val="000000"/>
                <w:kern w:val="0"/>
                <w:sz w:val="20"/>
                <w:szCs w:val="20"/>
                <w:u w:val="none"/>
                <w:lang w:val="en-US" w:eastAsia="zh-CN" w:bidi="ar"/>
              </w:rPr>
              <w:t>68</w:t>
            </w:r>
          </w:p>
        </w:tc>
        <w:tc>
          <w:tcPr>
            <w:tcW w:w="321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ind w:left="0" w:leftChars="0" w:right="0" w:rightChars="0"/>
              <w:jc w:val="left"/>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5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费</w:t>
            </w:r>
          </w:p>
        </w:tc>
      </w:tr>
    </w:tbl>
    <w:p>
      <w:pPr>
        <w:keepNext w:val="0"/>
        <w:keepLines w:val="0"/>
        <w:widowControl w:val="0"/>
        <w:suppressLineNumbers w:val="0"/>
        <w:spacing w:before="0" w:beforeAutospacing="0" w:after="0" w:afterAutospacing="0"/>
        <w:ind w:left="0" w:right="0"/>
        <w:jc w:val="both"/>
        <w:rPr>
          <w:rFonts w:hint="eastAsia" w:ascii="黑体" w:hAnsi="黑体" w:eastAsia="黑体" w:cs="黑体"/>
          <w:b w:val="0"/>
          <w:bCs w:val="0"/>
          <w:kern w:val="2"/>
          <w:sz w:val="32"/>
          <w:szCs w:val="32"/>
          <w:lang w:val="en-US" w:eastAsia="zh-CN" w:bidi="ar"/>
        </w:rPr>
      </w:pPr>
    </w:p>
    <w:p>
      <w:pPr>
        <w:rPr>
          <w:rFonts w:hint="default" w:ascii="Times New Roman" w:hAnsi="Times New Roman" w:eastAsia="方正黑体_GBK" w:cs="Times New Roman"/>
          <w:b/>
          <w:bCs/>
          <w:color w:val="auto"/>
          <w:sz w:val="30"/>
          <w:szCs w:val="30"/>
          <w:lang w:val="en-US" w:eastAsia="zh-CN"/>
        </w:rPr>
      </w:pPr>
      <w:r>
        <w:rPr>
          <w:rFonts w:hint="default" w:ascii="Times New Roman" w:hAnsi="Times New Roman" w:eastAsia="方正黑体_GBK" w:cs="Times New Roman"/>
          <w:b w:val="0"/>
          <w:bCs w:val="0"/>
          <w:color w:val="auto"/>
          <w:sz w:val="32"/>
          <w:szCs w:val="32"/>
          <w:lang w:val="en-US" w:eastAsia="zh-CN"/>
        </w:rPr>
        <w:t>附件3</w:t>
      </w:r>
    </w:p>
    <w:p>
      <w:pPr>
        <w:keepNext w:val="0"/>
        <w:keepLines w:val="0"/>
        <w:pageBreakBefore w:val="0"/>
        <w:widowControl w:val="0"/>
        <w:kinsoku/>
        <w:wordWrap/>
        <w:overflowPunct/>
        <w:topLinePunct w:val="0"/>
        <w:autoSpaceDE/>
        <w:autoSpaceDN/>
        <w:bidi w:val="0"/>
        <w:adjustRightInd/>
        <w:snapToGrid w:val="0"/>
        <w:spacing w:before="63" w:beforeLines="20" w:after="63" w:afterLines="20"/>
        <w:ind w:firstLine="880" w:firstLineChars="200"/>
        <w:jc w:val="center"/>
        <w:textAlignment w:val="auto"/>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整合后精神治疗类医疗服务价格项目表</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使用说明：</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3.“基本物质资源消耗”指原则上限于不应或不必要与医疗服务项目分割的易耗品，包括但不限于各类消毒用品、储存用品、清洁用品、个人防护用品、标签、垃圾处理用品、治疗巾（单）、棉球、棉签、纱布（垫）、普通绷带、固定带、治疗护理盘（包）、护（尿）垫、中单、牙垫、软件（版权、开发、购买）成本等。基本物质资源消耗成本计入项目价格，不另行收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 xml:space="preserve">4.涉及“包括……”“……等”的，属于开放型表述，所指对象不仅局限于表述中列明的事项，也包括未列明的同类事项，以国家级技术规范、临床指南或专家共识中的明确定性为依据。                                                                                                                                                         5.“心理治疗”指线下或运用线上实时视频交互手段实现的治疗，录音录像等不得按此收费。   </w:t>
      </w:r>
    </w:p>
    <w:tbl>
      <w:tblPr>
        <w:tblStyle w:val="8"/>
        <w:tblW w:w="16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26"/>
        <w:gridCol w:w="1635"/>
        <w:gridCol w:w="1455"/>
        <w:gridCol w:w="3210"/>
        <w:gridCol w:w="2760"/>
        <w:gridCol w:w="540"/>
        <w:gridCol w:w="570"/>
        <w:gridCol w:w="585"/>
        <w:gridCol w:w="600"/>
        <w:gridCol w:w="3135"/>
        <w:gridCol w:w="601"/>
        <w:gridCol w:w="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tblHeader/>
          <w:jc w:val="center"/>
        </w:trPr>
        <w:tc>
          <w:tcPr>
            <w:tcW w:w="42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63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45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21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76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4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755"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13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601"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58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blHeader/>
          <w:jc w:val="center"/>
        </w:trPr>
        <w:tc>
          <w:tcPr>
            <w:tcW w:w="426"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3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45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21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76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4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13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01"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013115000010000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心理治疗（个体）</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由精神科医师、心理治疗师针对精神心理障碍患者的精神心理问题，采取合适的心理干预治疗技术，改善患者的心理疾病症状。</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54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77</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73</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不与心理咨询同时收取。</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013115000010001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心理治疗（个体）-每增加10分钟（加收）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013115000020000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心理治疗（家庭）</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由精神科医师、心理治疗师针对精神心理障碍家庭的精神心理问题，采取合适的心理干预治疗技术，改善患者家庭的心理疾病症状。</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154</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145</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不与心理咨询同时收取。</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013115000020001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心理治疗（家庭）-每增加20分钟（加收）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每20分钟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013115000030000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心理治疗（团体）</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由精神科医师、心理治疗师采取一对多或多对多的方式，针对精神心理障碍患者的精神心理问题，采取合适的心理干预治疗技术，改善患者的心理疾病症状。</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团体治疗人数不得超过15人；</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不与心理咨询同时收取。</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013115000030001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心理治疗（团体）-每增加20分钟（加收）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每20分钟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5.4</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426"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013115000040000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心理咨询</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由心理咨询师、心理治疗师针对患者的精神心理问题，采取教育、指导、启发等适宜的咨询沟通手段，缓解患者心理问题。</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所定价格涵盖场所设置、方案制定、沟通咨询等步骤所需的人力资源和基本物质资源消耗。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43</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不与心理治疗同时收取。</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jc w:val="center"/>
        </w:trPr>
        <w:tc>
          <w:tcPr>
            <w:tcW w:w="426"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013115000050000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电休克治疗（ECT）</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通过电休克设备对患者进行休克治疗。</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所定价格涵盖躯体及精神状况评估、肢体及牙齿保护、电极安放、电刺激、生命体征及意识状态观察、治疗记录等步骤所需的人力资源、设备成本和基本物质资源消耗。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154</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145</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实施多参数监护无抽搐电休克治疗时，可正常收取全身麻醉、注射费等费用。</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013115000060000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精神康复治疗（个人）</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通过一对一的形式，由专业的人员对相关精神障碍的患者进行康复训练，改善其精神状态。</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013115000060001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精神康复治疗（个人）-每增加10分钟（加收）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7</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013115000070000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精神康复治疗（家庭）</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通过一对多的形式，由专业的人员对相关精神障碍的患者家庭进行康复训练，改善其精神状态。</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103</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93</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88</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013115000070001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精神康复治疗（家庭）-每增加10分钟（加收）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426"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8</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013115000080000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精神康复治疗（团体）</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通过一对多或多对多的形式，由专业的人员对相关精神障碍的患者进行康复训练，改善其精神功能状态。</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团体治疗人数不得超过15人。</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426"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013115000080001</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精神康复治疗（团体）-每增加10分钟（加收）</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jc w:val="center"/>
        </w:trPr>
        <w:tc>
          <w:tcPr>
            <w:tcW w:w="42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013115000090000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精神科监护</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为处于重性精神病急性发作期的患者提供严密监护服务。</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所定价格涵盖对精神病患者进行生命体征、认知、情感、意志行为等方面的监护以及采取预防意外事件发生措施等步骤所需的人力资源、设备成本和基本物质资源消耗。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1.重性精神病急性发作期患者指出现急性、冲动、自杀、伤人、毁物及有外走、妄想、幻觉和木僵等症状的患者；</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2.精神科监护不可与精神病人护理同时收取。</w:t>
            </w: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426"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w:t>
            </w:r>
          </w:p>
        </w:tc>
        <w:tc>
          <w:tcPr>
            <w:tcW w:w="163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012417000010000</w:t>
            </w:r>
          </w:p>
        </w:tc>
        <w:tc>
          <w:tcPr>
            <w:tcW w:w="14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眼动检查</w:t>
            </w:r>
          </w:p>
        </w:tc>
        <w:tc>
          <w:tcPr>
            <w:tcW w:w="321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通过检测眼球运动轨迹等，检测患者的感知运动、持续注意、工作记忆等功能，辅助诊断精神疾病。</w:t>
            </w:r>
          </w:p>
        </w:tc>
        <w:tc>
          <w:tcPr>
            <w:tcW w:w="27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所定价格涵盖设备准备、眼动轨迹记录、分析、得出结果等步骤所需的人力资源、设备成本和基本物质资源消耗。</w:t>
            </w:r>
          </w:p>
        </w:tc>
        <w:tc>
          <w:tcPr>
            <w:tcW w:w="54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58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60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313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8"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r>
    </w:tbl>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p>
      <w:pPr>
        <w:rPr>
          <w:rFonts w:hint="default" w:ascii="Times New Roman" w:hAnsi="Times New Roman" w:eastAsia="仿宋_GB2312" w:cs="Times New Roman"/>
          <w:b/>
          <w:bCs/>
          <w:color w:val="auto"/>
          <w:sz w:val="30"/>
          <w:szCs w:val="30"/>
          <w:lang w:val="en-US" w:eastAsia="zh-CN"/>
        </w:rPr>
      </w:pPr>
      <w:r>
        <w:rPr>
          <w:rFonts w:hint="default" w:ascii="Times New Roman" w:hAnsi="Times New Roman" w:eastAsia="黑体" w:cs="Times New Roman"/>
          <w:b w:val="0"/>
          <w:bCs w:val="0"/>
          <w:color w:val="auto"/>
          <w:sz w:val="32"/>
          <w:szCs w:val="32"/>
          <w:lang w:val="en-US" w:eastAsia="zh-CN"/>
        </w:rPr>
        <w:t>附件4</w:t>
      </w:r>
    </w:p>
    <w:p>
      <w:pPr>
        <w:keepNext w:val="0"/>
        <w:keepLines w:val="0"/>
        <w:pageBreakBefore w:val="0"/>
        <w:widowControl w:val="0"/>
        <w:kinsoku/>
        <w:wordWrap/>
        <w:overflowPunct/>
        <w:topLinePunct w:val="0"/>
        <w:autoSpaceDE/>
        <w:autoSpaceDN/>
        <w:bidi w:val="0"/>
        <w:adjustRightInd/>
        <w:snapToGrid w:val="0"/>
        <w:spacing w:before="118" w:beforeLines="20" w:after="118" w:afterLines="20"/>
        <w:ind w:firstLine="880" w:firstLineChars="200"/>
        <w:jc w:val="center"/>
        <w:textAlignment w:val="auto"/>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整合后放射治疗类医疗服务价格项目表</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使用说明：</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3.“基本物质资源消耗”指原则上限于不应或不必要与医疗服务项目分割的易耗品，包括但不限于各类消杀用品、储存用品、清洁用品、个人防护用品、垃圾处理用品、润滑剂、棉球、棉签、纱布（垫）、护（尿）垫、治疗巾（单）、中单、护理盘（包）、治疗包、注射器、标签、无菌设备保护套、模具、挡板、铅板（模）、蜡模、凡士林、标记笔、可复用的操作器具、软件（版权、开发、购买）成本等。基本物质资源消耗成本计入项目价格，不另行收费。</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4.“超长靶区”指直线加速器电子线射野大于20cm×20cm，X线射野单边大于40cm。</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5.“超高剂量率放疗”指使用超高剂量率（≥40Gy/s）对肿瘤靶区进行照射的放疗方式。</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6.“自适应放疗”指在放疗过程中根据肿瘤退缩情况动态调整放疗计划的技术。                                                                                                                           7.“运动管理”指基于植入金标、光学体表监测、呼吸控制等技术对周期性运动的肿瘤靶区进行限制、追踪照射或在周期性运动的特定时相控制机器出束照射。</w:t>
      </w:r>
    </w:p>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8. 涉及“包括……”“……等”的，属于开放型表述，所指对象不仅局限于表述中列明的事项，也包括未列明的同类事项，以国家级技术规范、临床指南或专家共识中的明确定性为依据。</w:t>
      </w:r>
    </w:p>
    <w:p>
      <w:pPr>
        <w:pStyle w:val="2"/>
        <w:rPr>
          <w:rFonts w:hint="eastAsia" w:ascii="仿宋" w:hAnsi="仿宋" w:eastAsia="仿宋" w:cs="仿宋"/>
          <w:b w:val="0"/>
          <w:bCs w:val="0"/>
          <w:i w:val="0"/>
          <w:iCs w:val="0"/>
          <w:color w:val="auto"/>
          <w:kern w:val="0"/>
          <w:sz w:val="24"/>
          <w:szCs w:val="24"/>
          <w:u w:val="none"/>
          <w:lang w:val="en-US" w:eastAsia="zh-CN" w:bidi="ar"/>
        </w:rPr>
      </w:pPr>
    </w:p>
    <w:p>
      <w:pPr>
        <w:pStyle w:val="2"/>
        <w:rPr>
          <w:rFonts w:hint="eastAsia"/>
          <w:lang w:val="en-US" w:eastAsia="zh-CN"/>
        </w:rPr>
      </w:pPr>
    </w:p>
    <w:p>
      <w:pPr>
        <w:rPr>
          <w:rFonts w:hint="eastAsia"/>
          <w:lang w:val="en-US" w:eastAsia="zh-CN"/>
        </w:rPr>
      </w:pPr>
    </w:p>
    <w:tbl>
      <w:tblPr>
        <w:tblStyle w:val="8"/>
        <w:tblW w:w="16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11"/>
        <w:gridCol w:w="1650"/>
        <w:gridCol w:w="1470"/>
        <w:gridCol w:w="3150"/>
        <w:gridCol w:w="2805"/>
        <w:gridCol w:w="529"/>
        <w:gridCol w:w="675"/>
        <w:gridCol w:w="690"/>
        <w:gridCol w:w="645"/>
        <w:gridCol w:w="3030"/>
        <w:gridCol w:w="594"/>
        <w:gridCol w:w="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blHeader/>
          <w:jc w:val="center"/>
        </w:trPr>
        <w:tc>
          <w:tcPr>
            <w:tcW w:w="411"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65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47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15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80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29"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2010"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303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594"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61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050" w:hRule="atLeast"/>
          <w:tblHeader/>
          <w:jc w:val="center"/>
        </w:trPr>
        <w:tc>
          <w:tcPr>
            <w:tcW w:w="411"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5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47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15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80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29"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303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94"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1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23"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依据模拟定位，勾画放疗靶区和危及器官，制定放疗剂量、危及器官限量，放疗次数和方式等放疗计划。</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所定价格涵盖勾画靶区、给定处方剂量、制定放疗计划等过程中所需的人力资源、设备运转成本消耗与基本物耗。</w:t>
            </w:r>
          </w:p>
        </w:tc>
        <w:tc>
          <w:tcPr>
            <w:tcW w:w="529"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1.普</w:t>
            </w:r>
            <w:r>
              <w:rPr>
                <w:rFonts w:hint="eastAsia" w:ascii="宋体" w:hAnsi="宋体" w:eastAsia="宋体" w:cs="宋体"/>
                <w:i w:val="0"/>
                <w:iCs w:val="0"/>
                <w:color w:val="auto"/>
                <w:kern w:val="0"/>
                <w:sz w:val="20"/>
                <w:szCs w:val="20"/>
                <w:u w:val="none"/>
                <w:lang w:val="en-US" w:eastAsia="zh" w:bidi="ar"/>
              </w:rPr>
              <w:t>通</w:t>
            </w:r>
            <w:r>
              <w:rPr>
                <w:rFonts w:hint="eastAsia" w:ascii="宋体" w:hAnsi="宋体" w:eastAsia="宋体" w:cs="宋体"/>
                <w:i w:val="0"/>
                <w:iCs w:val="0"/>
                <w:color w:val="auto"/>
                <w:kern w:val="0"/>
                <w:sz w:val="20"/>
                <w:szCs w:val="20"/>
                <w:u w:val="none"/>
                <w:lang w:val="en-US" w:eastAsia="zh-CN" w:bidi="ar"/>
              </w:rPr>
              <w:t>放</w:t>
            </w:r>
            <w:r>
              <w:rPr>
                <w:rFonts w:hint="eastAsia" w:ascii="宋体" w:hAnsi="宋体" w:eastAsia="宋体" w:cs="宋体"/>
                <w:i w:val="0"/>
                <w:iCs w:val="0"/>
                <w:color w:val="auto"/>
                <w:kern w:val="0"/>
                <w:sz w:val="20"/>
                <w:szCs w:val="20"/>
                <w:u w:val="none"/>
                <w:lang w:val="en-US" w:eastAsia="zh" w:bidi="ar"/>
              </w:rPr>
              <w:t>疗的</w:t>
            </w:r>
            <w:r>
              <w:rPr>
                <w:rFonts w:hint="eastAsia" w:ascii="宋体" w:hAnsi="宋体" w:eastAsia="宋体" w:cs="宋体"/>
                <w:i w:val="0"/>
                <w:iCs w:val="0"/>
                <w:color w:val="auto"/>
                <w:kern w:val="0"/>
                <w:sz w:val="20"/>
                <w:szCs w:val="20"/>
                <w:u w:val="none"/>
                <w:lang w:val="en-US" w:eastAsia="zh-CN" w:bidi="ar"/>
              </w:rPr>
              <w:t>计划制定按100元/次收取，每个疗程收费封顶200元；</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r>
              <w:rPr>
                <w:rFonts w:hint="eastAsia" w:ascii="宋体" w:hAnsi="宋体" w:eastAsia="宋体" w:cs="宋体"/>
                <w:i w:val="0"/>
                <w:iCs w:val="0"/>
                <w:color w:val="auto"/>
                <w:kern w:val="0"/>
                <w:sz w:val="20"/>
                <w:szCs w:val="20"/>
                <w:u w:val="none"/>
                <w:lang w:val="en-US" w:eastAsia="zh" w:bidi="ar"/>
              </w:rPr>
              <w:t>精确</w:t>
            </w:r>
            <w:r>
              <w:rPr>
                <w:rFonts w:hint="eastAsia" w:ascii="宋体" w:hAnsi="宋体" w:eastAsia="宋体" w:cs="宋体"/>
                <w:i w:val="0"/>
                <w:iCs w:val="0"/>
                <w:color w:val="auto"/>
                <w:kern w:val="0"/>
                <w:sz w:val="20"/>
                <w:szCs w:val="20"/>
                <w:u w:val="none"/>
                <w:lang w:val="en-US" w:eastAsia="zh-CN" w:bidi="ar"/>
              </w:rPr>
              <w:t>放</w:t>
            </w:r>
            <w:r>
              <w:rPr>
                <w:rFonts w:hint="eastAsia" w:ascii="宋体" w:hAnsi="宋体" w:eastAsia="宋体" w:cs="宋体"/>
                <w:i w:val="0"/>
                <w:iCs w:val="0"/>
                <w:color w:val="auto"/>
                <w:kern w:val="0"/>
                <w:sz w:val="20"/>
                <w:szCs w:val="20"/>
                <w:u w:val="none"/>
                <w:lang w:val="en-US" w:eastAsia="zh" w:bidi="ar"/>
              </w:rPr>
              <w:t>疗（指理由CT、磁共振等影像技术精准定位和三维TPS等精确计划设计、剂量计算的放射治疗技术）的</w:t>
            </w:r>
            <w:r>
              <w:rPr>
                <w:rFonts w:hint="eastAsia" w:ascii="宋体" w:hAnsi="宋体" w:eastAsia="宋体" w:cs="宋体"/>
                <w:i w:val="0"/>
                <w:iCs w:val="0"/>
                <w:color w:val="auto"/>
                <w:kern w:val="0"/>
                <w:sz w:val="20"/>
                <w:szCs w:val="20"/>
                <w:u w:val="none"/>
                <w:lang w:val="en-US" w:eastAsia="zh-CN" w:bidi="ar"/>
              </w:rPr>
              <w:t>计划制定按</w:t>
            </w:r>
            <w:r>
              <w:rPr>
                <w:rFonts w:hint="eastAsia" w:ascii="宋体" w:hAnsi="宋体" w:eastAsia="宋体" w:cs="宋体"/>
                <w:i w:val="0"/>
                <w:iCs w:val="0"/>
                <w:color w:val="auto"/>
                <w:kern w:val="0"/>
                <w:sz w:val="20"/>
                <w:szCs w:val="20"/>
                <w:u w:val="none"/>
                <w:lang w:val="en-US" w:eastAsia="zh" w:bidi="ar"/>
              </w:rPr>
              <w:t>6</w:t>
            </w:r>
            <w:r>
              <w:rPr>
                <w:rFonts w:hint="eastAsia" w:ascii="宋体" w:hAnsi="宋体" w:eastAsia="宋体" w:cs="宋体"/>
                <w:i w:val="0"/>
                <w:iCs w:val="0"/>
                <w:color w:val="auto"/>
                <w:kern w:val="0"/>
                <w:sz w:val="20"/>
                <w:szCs w:val="20"/>
                <w:u w:val="none"/>
                <w:lang w:val="en-US" w:eastAsia="zh-CN" w:bidi="ar"/>
              </w:rPr>
              <w:t>00元/次收取，每个疗程收费封顶</w:t>
            </w:r>
            <w:r>
              <w:rPr>
                <w:rFonts w:hint="eastAsia" w:ascii="宋体" w:hAnsi="宋体" w:eastAsia="宋体" w:cs="宋体"/>
                <w:i w:val="0"/>
                <w:iCs w:val="0"/>
                <w:color w:val="auto"/>
                <w:kern w:val="0"/>
                <w:sz w:val="20"/>
                <w:szCs w:val="20"/>
                <w:u w:val="none"/>
                <w:lang w:val="en-US" w:eastAsia="zh" w:bidi="ar"/>
              </w:rPr>
              <w:t>1</w:t>
            </w:r>
            <w:r>
              <w:rPr>
                <w:rFonts w:hint="eastAsia" w:ascii="宋体" w:hAnsi="宋体" w:eastAsia="宋体" w:cs="宋体"/>
                <w:i w:val="0"/>
                <w:iCs w:val="0"/>
                <w:color w:val="auto"/>
                <w:kern w:val="0"/>
                <w:sz w:val="20"/>
                <w:szCs w:val="20"/>
                <w:u w:val="none"/>
                <w:lang w:val="en-US" w:eastAsia="zh-CN" w:bidi="ar"/>
              </w:rPr>
              <w:t>200元。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3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放疗计划制定-调强计划制定（加收）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428</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404</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放疗计划制定-立体定向放疗计划制定（加收）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799"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013401010020000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放疗计划验证</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依据靶区及计划制定的方案对放疗计划进行验证，必要时进行调整。</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所定价格涵盖固定、摆位、标记、扫描、获取影像、比较、校正、标记及剂量验证等过程中所需的人力资源、设备运转成本消耗与基本物耗。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599</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每个疗程收费封顶</w:t>
            </w:r>
            <w:r>
              <w:rPr>
                <w:rFonts w:hint="eastAsia" w:ascii="宋体" w:hAnsi="宋体" w:eastAsia="宋体" w:cs="宋体"/>
                <w:i w:val="0"/>
                <w:iCs w:val="0"/>
                <w:color w:val="auto"/>
                <w:kern w:val="0"/>
                <w:sz w:val="20"/>
                <w:szCs w:val="20"/>
                <w:u w:val="none"/>
                <w:lang w:val="en-US" w:eastAsia="zh" w:bidi="ar"/>
              </w:rPr>
              <w:t>14</w:t>
            </w:r>
            <w:r>
              <w:rPr>
                <w:rFonts w:hint="eastAsia" w:ascii="宋体" w:hAnsi="宋体" w:eastAsia="宋体" w:cs="宋体"/>
                <w:i w:val="0"/>
                <w:iCs w:val="0"/>
                <w:color w:val="auto"/>
                <w:kern w:val="0"/>
                <w:sz w:val="20"/>
                <w:szCs w:val="20"/>
                <w:u w:val="none"/>
                <w:lang w:val="en-US" w:eastAsia="zh-CN" w:bidi="ar"/>
              </w:rPr>
              <w:t>00元。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8"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应用CT影像技术，进行放疗模拟定位，确定靶区、危及器官，必要时确定射野。</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所定价格涵盖模具设计与制作、摆位、体位固定、图像扫描、标记、必要时静脉输注对比剂、定位、获取影像、传输、记录等过程中所需的人力资源、设备运转成本消耗与基本物耗。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855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808</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1.“模具设计与制作”包括但不限于体位固定器、射线挡块、剂量补偿物等放疗过程中涉及的各类模具制作步骤；</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2.每个疗程收费封顶2</w:t>
            </w:r>
            <w:r>
              <w:rPr>
                <w:rFonts w:hint="eastAsia" w:ascii="宋体" w:hAnsi="宋体" w:eastAsia="宋体" w:cs="宋体"/>
                <w:i w:val="0"/>
                <w:iCs w:val="0"/>
                <w:color w:val="auto"/>
                <w:kern w:val="0"/>
                <w:sz w:val="20"/>
                <w:szCs w:val="20"/>
                <w:u w:val="none"/>
                <w:lang w:val="en-US" w:eastAsia="zh" w:bidi="ar"/>
              </w:rPr>
              <w:t>0</w:t>
            </w:r>
            <w:r>
              <w:rPr>
                <w:rFonts w:hint="eastAsia" w:ascii="宋体" w:hAnsi="宋体" w:eastAsia="宋体" w:cs="宋体"/>
                <w:i w:val="0"/>
                <w:iCs w:val="0"/>
                <w:color w:val="auto"/>
                <w:kern w:val="0"/>
                <w:sz w:val="20"/>
                <w:szCs w:val="20"/>
                <w:u w:val="none"/>
                <w:lang w:val="en-US" w:eastAsia="zh-CN" w:bidi="ar"/>
              </w:rPr>
              <w:t>00元。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1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放疗模拟定位-特殊影像模拟定位（加收）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应用磁共振（MR）、正电子发射计算机断层显像（PET-CT）等特殊影像技术，进行放疗模拟定位，确定靶区、危及器官，必要时确定射野。</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296</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252</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1.“特殊影像模拟定位”指使用磁共振（MR）、正电子发射计算机断层显像（PET-CT）等影像完成模拟定位。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 w:bidi="ar"/>
              </w:rPr>
              <w:t>2.每疗程</w:t>
            </w:r>
            <w:r>
              <w:rPr>
                <w:rFonts w:hint="eastAsia" w:ascii="宋体" w:hAnsi="宋体" w:eastAsia="宋体" w:cs="宋体"/>
                <w:i w:val="0"/>
                <w:iCs w:val="0"/>
                <w:color w:val="auto"/>
                <w:kern w:val="0"/>
                <w:sz w:val="20"/>
                <w:szCs w:val="20"/>
                <w:u w:val="none"/>
                <w:lang w:val="en-US" w:eastAsia="zh-CN" w:bidi="ar"/>
              </w:rPr>
              <w:t>收费封顶</w:t>
            </w:r>
            <w:r>
              <w:rPr>
                <w:rFonts w:hint="eastAsia" w:ascii="宋体" w:hAnsi="宋体" w:eastAsia="宋体" w:cs="宋体"/>
                <w:i w:val="0"/>
                <w:iCs w:val="0"/>
                <w:color w:val="auto"/>
                <w:kern w:val="0"/>
                <w:sz w:val="20"/>
                <w:szCs w:val="20"/>
                <w:u w:val="none"/>
                <w:lang w:val="en-US" w:eastAsia="zh" w:bidi="ar"/>
              </w:rPr>
              <w:t>614</w:t>
            </w:r>
            <w:r>
              <w:rPr>
                <w:rFonts w:hint="eastAsia" w:ascii="宋体" w:hAnsi="宋体" w:eastAsia="宋体" w:cs="宋体"/>
                <w:i w:val="0"/>
                <w:iCs w:val="0"/>
                <w:color w:val="auto"/>
                <w:kern w:val="0"/>
                <w:sz w:val="20"/>
                <w:szCs w:val="20"/>
                <w:u w:val="none"/>
                <w:lang w:val="en-US" w:eastAsia="zh-CN" w:bidi="ar"/>
              </w:rPr>
              <w:t>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013401020010002</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放疗模拟定位-简易模拟定位（减收）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应用B超、X线等简易影像技术，进行放疗模拟定位，确定靶区、危及器官，必要时确定射野。</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684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646</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简易模拟定位指使用超声、X线定位。</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69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放疗模拟定位-运动管理（加收）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应用CT影像技术，进行运动管理的放疗模拟定位，确定靶区、危及器官，必要时确定射野。</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124</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112</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 w:bidi="ar"/>
              </w:rPr>
              <w:t>每疗程</w:t>
            </w:r>
            <w:r>
              <w:rPr>
                <w:rFonts w:hint="eastAsia" w:ascii="宋体" w:hAnsi="宋体" w:eastAsia="宋体" w:cs="宋体"/>
                <w:i w:val="0"/>
                <w:iCs w:val="0"/>
                <w:color w:val="auto"/>
                <w:kern w:val="0"/>
                <w:sz w:val="20"/>
                <w:szCs w:val="20"/>
                <w:u w:val="none"/>
                <w:lang w:val="en-US" w:eastAsia="zh-CN" w:bidi="ar"/>
              </w:rPr>
              <w:t>收费封顶</w:t>
            </w:r>
            <w:r>
              <w:rPr>
                <w:rFonts w:hint="eastAsia" w:ascii="宋体" w:hAnsi="宋体" w:eastAsia="宋体" w:cs="宋体"/>
                <w:i w:val="0"/>
                <w:iCs w:val="0"/>
                <w:color w:val="auto"/>
                <w:kern w:val="0"/>
                <w:sz w:val="20"/>
                <w:szCs w:val="20"/>
                <w:u w:val="none"/>
                <w:lang w:val="en-US" w:eastAsia="zh" w:bidi="ar"/>
              </w:rPr>
              <w:t>260</w:t>
            </w:r>
            <w:r>
              <w:rPr>
                <w:rFonts w:hint="eastAsia" w:ascii="宋体" w:hAnsi="宋体" w:eastAsia="宋体" w:cs="宋体"/>
                <w:i w:val="0"/>
                <w:iCs w:val="0"/>
                <w:color w:val="auto"/>
                <w:kern w:val="0"/>
                <w:sz w:val="20"/>
                <w:szCs w:val="20"/>
                <w:u w:val="none"/>
                <w:lang w:val="en-US" w:eastAsia="zh-CN" w:bidi="ar"/>
              </w:rPr>
              <w:t>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013401020010021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放疗模拟定位-立体定向放疗模拟定位（加收）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应用CT影像技术，进行立体定向的放疗模拟定位，确定靶区、危及器官，必要时确定射野。</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296</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252</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 w:bidi="ar"/>
              </w:rPr>
              <w:t>每疗程</w:t>
            </w:r>
            <w:r>
              <w:rPr>
                <w:rFonts w:hint="eastAsia" w:ascii="宋体" w:hAnsi="宋体" w:eastAsia="宋体" w:cs="宋体"/>
                <w:i w:val="0"/>
                <w:iCs w:val="0"/>
                <w:color w:val="auto"/>
                <w:kern w:val="0"/>
                <w:sz w:val="20"/>
                <w:szCs w:val="20"/>
                <w:u w:val="none"/>
                <w:lang w:val="en-US" w:eastAsia="zh-CN" w:bidi="ar"/>
              </w:rPr>
              <w:t>收费封顶</w:t>
            </w:r>
            <w:r>
              <w:rPr>
                <w:rFonts w:hint="eastAsia" w:ascii="宋体" w:hAnsi="宋体" w:eastAsia="宋体" w:cs="宋体"/>
                <w:i w:val="0"/>
                <w:iCs w:val="0"/>
                <w:color w:val="auto"/>
                <w:kern w:val="0"/>
                <w:sz w:val="20"/>
                <w:szCs w:val="20"/>
                <w:u w:val="none"/>
                <w:lang w:val="en-US" w:eastAsia="zh" w:bidi="ar"/>
              </w:rPr>
              <w:t>614</w:t>
            </w:r>
            <w:r>
              <w:rPr>
                <w:rFonts w:hint="eastAsia" w:ascii="宋体" w:hAnsi="宋体" w:eastAsia="宋体" w:cs="宋体"/>
                <w:i w:val="0"/>
                <w:iCs w:val="0"/>
                <w:color w:val="auto"/>
                <w:kern w:val="0"/>
                <w:sz w:val="20"/>
                <w:szCs w:val="20"/>
                <w:u w:val="none"/>
                <w:lang w:val="en-US" w:eastAsia="zh-CN" w:bidi="ar"/>
              </w:rPr>
              <w:t>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9"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外照射治疗（普通）</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使用医用电子直线加速器产生电子线和光子线，实施体外照射放射治疗。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所定价格涵盖摆位、体位固定、操作设备出束治疗、实时监控、必要时使用射线档块、剂量补偿物等过程中所需的人力资源、设备运转成本消耗与基本物耗。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272</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外照射治疗（普通）-超长靶区（加收）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使用医用电子直线加速器产生电子线和光子线，实施体外照射超长靶区放射治疗。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13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013401030010011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外照射治疗（普通）-超高剂量率放疗（加收）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使用医用电子直线加速器产生电子线和光子线，实施体外照射超高剂量率放射治疗。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272</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9"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基于放疗计划，使用医用电子直线加速器或钴-60远距离治疗机等产生光子射线，实施外照射治疗。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所定价格涵盖治疗摆位、体位固定、操作设备、出束治疗、实时监控、必要时使用射线档块、剂量补偿物等过程中所需的人力资源、设备运转成本消耗与基本物耗。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1140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1026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969</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外照射治疗（光子线-适形）-超长靶区（加收）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基于放疗计划，使用医用电子直线加速器或钴-60远距离治疗机等产生光子射线，实施超长靶区外照射治疗。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24"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外照射治疗（光子线-适形）-超高剂量率放疗（加收）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基于放疗计划，使用医用电子直线加速器或钴-60远距离治疗机等产生光子射线，实施超高剂量率放疗外照射治疗。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1140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1026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969</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40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013401030020021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外照射治疗（光子线-适形）-图像引导（加收）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基于放疗计划，使用医用电子直线加速器或钴-60远距离治疗机等产生光子射线，图像引导下实施外照射治疗。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 w:bidi="ar"/>
              </w:rPr>
              <w:t>每疗程</w:t>
            </w:r>
            <w:r>
              <w:rPr>
                <w:rFonts w:hint="eastAsia" w:ascii="宋体" w:hAnsi="宋体" w:eastAsia="宋体" w:cs="宋体"/>
                <w:i w:val="0"/>
                <w:iCs w:val="0"/>
                <w:color w:val="auto"/>
                <w:kern w:val="0"/>
                <w:sz w:val="20"/>
                <w:szCs w:val="20"/>
                <w:u w:val="none"/>
                <w:lang w:val="en-US" w:eastAsia="zh-CN" w:bidi="ar"/>
              </w:rPr>
              <w:t>收费封顶</w:t>
            </w:r>
            <w:r>
              <w:rPr>
                <w:rFonts w:hint="eastAsia" w:ascii="宋体" w:hAnsi="宋体" w:eastAsia="宋体" w:cs="宋体"/>
                <w:i w:val="0"/>
                <w:iCs w:val="0"/>
                <w:color w:val="auto"/>
                <w:kern w:val="0"/>
                <w:sz w:val="20"/>
                <w:szCs w:val="20"/>
                <w:u w:val="none"/>
                <w:lang w:val="en-US" w:eastAsia="zh" w:bidi="ar"/>
              </w:rPr>
              <w:t>300元</w:t>
            </w:r>
            <w:r>
              <w:rPr>
                <w:rFonts w:hint="eastAsia" w:ascii="宋体" w:hAnsi="宋体" w:eastAsia="宋体" w:cs="宋体"/>
                <w:i w:val="0"/>
                <w:iCs w:val="0"/>
                <w:color w:val="auto"/>
                <w:kern w:val="0"/>
                <w:sz w:val="20"/>
                <w:szCs w:val="20"/>
                <w:u w:val="none"/>
                <w:lang w:val="en-US" w:eastAsia="zh-CN" w:bidi="ar"/>
              </w:rPr>
              <w:t>。</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14"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所定价格涵盖治疗摆位、体位固定、操作设备、出束治疗、实时监控、必要时使用射线档块、剂量补偿物等过程中所需的人力资源、设备运转成本消耗与基本物耗。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1425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1283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1211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外照射治疗（光子线-调强）-超长靶区（加收）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基于放疗计划，使用医用电子直线加速器等产生的光子线，根据肿瘤靶区和其周围危及器官的三维空间关系进行束流强度调节，实施超长靶区外照射治疗。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99"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外照射治疗（光子线-调强）-超高剂量率放疗（加收）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基于放疗计划，使用医用电子直线加速器等产生的光子线，根据肿瘤靶区和其周围危及器官的三维空间关系进行束流强度调节，实施超高剂量率外照射治疗。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1425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1283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1211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76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013401030030021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外照射治疗（光子线-调强）-自适应放疗（加收）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基于放疗计划，使用医用电子直线加速器等产生的光子线，根据肿瘤靶区和其周围危及器官的三维空间关系进行束流强度调节，实施自适应放疗外照射治疗。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741</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630</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013401030030031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外照射治疗（光子线-调强）-运动管理（加收）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基于放疗计划，使用医用电子直线加速器等产生的光子线，根据肿瘤靶区和其周围危及器官的三维空间关系进行束流强度调节，运动管理下实施外照射治疗。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124</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112</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013401030030041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外照射治疗（光子线-调强）-图像引导（加收）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基于放疗计划，使用医用电子直线加速器等产生的光子线，根据肿瘤靶区和其周围危及器官的三维空间关系进行束流强度调节，图像引导下实施外照射治疗。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 w:bidi="ar"/>
              </w:rPr>
              <w:t>每疗程</w:t>
            </w:r>
            <w:r>
              <w:rPr>
                <w:rFonts w:hint="eastAsia" w:ascii="宋体" w:hAnsi="宋体" w:eastAsia="宋体" w:cs="宋体"/>
                <w:i w:val="0"/>
                <w:iCs w:val="0"/>
                <w:color w:val="auto"/>
                <w:kern w:val="0"/>
                <w:sz w:val="20"/>
                <w:szCs w:val="20"/>
                <w:u w:val="none"/>
                <w:lang w:val="en-US" w:eastAsia="zh-CN" w:bidi="ar"/>
              </w:rPr>
              <w:t>收费封顶</w:t>
            </w:r>
            <w:r>
              <w:rPr>
                <w:rFonts w:hint="eastAsia" w:ascii="宋体" w:hAnsi="宋体" w:eastAsia="宋体" w:cs="宋体"/>
                <w:i w:val="0"/>
                <w:iCs w:val="0"/>
                <w:color w:val="auto"/>
                <w:kern w:val="0"/>
                <w:sz w:val="20"/>
                <w:szCs w:val="20"/>
                <w:u w:val="none"/>
                <w:lang w:val="en-US" w:eastAsia="zh" w:bidi="ar"/>
              </w:rPr>
              <w:t>300元</w:t>
            </w:r>
            <w:r>
              <w:rPr>
                <w:rFonts w:hint="eastAsia" w:ascii="宋体" w:hAnsi="宋体" w:eastAsia="宋体" w:cs="宋体"/>
                <w:i w:val="0"/>
                <w:iCs w:val="0"/>
                <w:color w:val="auto"/>
                <w:kern w:val="0"/>
                <w:sz w:val="20"/>
                <w:szCs w:val="20"/>
                <w:u w:val="none"/>
                <w:lang w:val="en-US" w:eastAsia="zh-CN" w:bidi="ar"/>
              </w:rPr>
              <w:t>。</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013401030030051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外照射治疗（光子线-调强）-断层调强放疗（加收）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基于放疗计划，使用医用电子直线加速器等产生的光子线，根据肿瘤靶区和其周围危及器官的三维空间关系进行束流强度调节，实施断层调强外照射治疗。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1045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941</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888</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40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013401030030052</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外照射治疗（光子线-调强）-容积旋转调强放疗（加收）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基于放疗计划，使用医用电子直线加速器等产生的光子线，根据肿瘤靶区和其周围危及器官的三维空间关系进行束流强度调节，实施容积旋转调强外照射治疗。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333</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283</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3"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7</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基于放疗计划，使用医用直线加速器、伽玛刀等产生的光子线，对肿瘤靶区进行大分割、高剂量短疗程放疗模式，实施外照射治疗。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所定价格涵盖治疗摆位、体位固定、图像引导、操作设备、高剂量出束治疗、实时监控等过程中所需的人力资源、设备运转成本消耗与基本物耗。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33250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29925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28263</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1.每疗程收费35000元，含5次照射治疗</w:t>
            </w:r>
            <w:r>
              <w:rPr>
                <w:rFonts w:hint="eastAsia" w:ascii="宋体" w:hAnsi="宋体" w:eastAsia="宋体" w:cs="宋体"/>
                <w:i w:val="0"/>
                <w:iCs w:val="0"/>
                <w:color w:val="auto"/>
                <w:kern w:val="0"/>
                <w:sz w:val="20"/>
                <w:szCs w:val="20"/>
                <w:u w:val="none"/>
                <w:lang w:val="en-US" w:eastAsia="zh" w:bidi="ar"/>
              </w:rPr>
              <w:t>；</w:t>
            </w:r>
            <w:r>
              <w:rPr>
                <w:rFonts w:hint="eastAsia" w:ascii="宋体" w:hAnsi="宋体" w:eastAsia="宋体" w:cs="宋体"/>
                <w:i w:val="0"/>
                <w:iCs w:val="0"/>
                <w:color w:val="auto"/>
                <w:kern w:val="0"/>
                <w:sz w:val="20"/>
                <w:szCs w:val="20"/>
                <w:u w:val="none"/>
                <w:lang w:val="en-US" w:eastAsia="zh-CN" w:bidi="ar"/>
              </w:rPr>
              <w:t>2.头部治疗不足5次的，每次按40%计费，每疗程封顶收费35000元；体部治疗不足5次的，每次按20%计费</w:t>
            </w:r>
            <w:r>
              <w:rPr>
                <w:rFonts w:hint="eastAsia" w:ascii="宋体" w:hAnsi="宋体" w:eastAsia="宋体" w:cs="宋体"/>
                <w:i w:val="0"/>
                <w:iCs w:val="0"/>
                <w:color w:val="auto"/>
                <w:kern w:val="0"/>
                <w:sz w:val="20"/>
                <w:szCs w:val="20"/>
                <w:u w:val="none"/>
                <w:lang w:val="en-US" w:eastAsia="zh" w:bidi="ar"/>
              </w:rPr>
              <w:t>；</w:t>
            </w:r>
            <w:r>
              <w:rPr>
                <w:rFonts w:hint="eastAsia" w:ascii="宋体" w:hAnsi="宋体" w:eastAsia="宋体" w:cs="宋体"/>
                <w:i w:val="0"/>
                <w:iCs w:val="0"/>
                <w:color w:val="auto"/>
                <w:kern w:val="0"/>
                <w:sz w:val="20"/>
                <w:szCs w:val="20"/>
                <w:u w:val="none"/>
                <w:lang w:val="en-US" w:eastAsia="zh-CN" w:bidi="ar"/>
              </w:rPr>
              <w:t>3.本计价说明同时适用于加收项。</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外照射治疗（光子线-立体定向）-自适应放疗（加收）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基于放疗计划，使用医用直线加速器、伽玛刀等产生的光子线，对肿瘤靶区进行大分割、高剂量短疗程放疗模式，实施自适应外照射治疗。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19000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17100</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16150</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外照射治疗（光子线-立体定向）-运动管理（加收）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基于放疗计划，使用医用直线加速器、伽玛刀等产生的光子线，对肿瘤靶区进行大分割、高剂量短疗程放疗模式，运动管理下实施外照射治疗。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618</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574"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7</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013401030040021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外照射治疗（光子线-立体定向）-超高剂量率放疗（加收）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基于放疗计划，使用医用直线加速器、伽玛刀等产生的光子线，对肿瘤靶区进行大分割、高剂量短疗程放疗模式，实施超高剂量率外照射治疗。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33250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29925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28263</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411"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013401030050000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外照射治疗（质子放疗）</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基于放疗计划，使用医用粒子加速器产生的质子射线，对肿瘤靶区进行束流强度调节，实施外照射治疗。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所定价格涵盖治疗摆位、体位固定、图像引导、操作设备、运动管理、出束治疗、实时监控、必要时使用射线档块、剂量补偿物等过程中所需的人力资源、设备运转成本消耗与基本物耗。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33250</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29925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28263</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第二次及以后照射治疗按15000元计费，同一适应症每疗程最高收费不超过170000元。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8" w:hRule="atLeast"/>
          <w:jc w:val="center"/>
        </w:trPr>
        <w:tc>
          <w:tcPr>
            <w:tcW w:w="411"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013401030060000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外照射治疗（重离子放疗）</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基于放疗计划，使用医用粒子加速器产生的重离子射线，对肿瘤靶区进行束流强度调节，实施外照射治疗。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所定价格涵盖治疗摆位、体位固定、图像引导、操作设备、运动管理、出束治疗、实时监控、必要时使用射线档块、剂量补偿物等过程中所需的人力资源、设备运转成本消耗与基本物耗。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47025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42323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39971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第二次及以后照射治疗按16500元计费，同一适应症每疗程最高收费不超过198000元。</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9" w:hRule="atLeast"/>
          <w:jc w:val="center"/>
        </w:trPr>
        <w:tc>
          <w:tcPr>
            <w:tcW w:w="411" w:type="dxa"/>
            <w:shd w:val="clear" w:color="auto" w:fill="auto"/>
            <w:noWrap/>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013401030070000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外照射治疗（硼-中子俘获）</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通过中子与同位素硼发生核反应作用于局部，达到杀灭肿瘤细胞的作用。</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所定价格涵盖设备准备、摆位、影像引导、靶区勾画、治疗计划设计、注射、局部照射等过程中所需的人力资源、设备运转成本消耗与基本物耗。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574"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013401030080000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术中放疗</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在术中进行的放射治疗。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所定价格涵盖暴露瘤床、确定照射区域、遮挡正常组织器官、机器操作、设备照射、阅单等步骤所需的人力资源与基本物质资源消耗。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自主定价</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8"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所定价格涵盖模拟定位、制定计划、剂量验证、置入施源器、组织人员插植、导入放射源、照射、环境辐射监测、必要时回收放射源、解除施源器等过程中所需的人力资源及设备运转成本消耗与基本物耗。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847</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762</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720</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“近距离治疗”包括但不限于“后装放射治疗”等一次性放射治疗及永久性植入放射性粒子治疗。</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近距离治疗（后装）-CT模拟定位（加收）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通过CT模拟定位在人体内置入施源器后导入放射源进行的治疗。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013401040010002</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近距离治疗（后装）-MR模拟定位（加收）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通过MR模拟定位在人体内置入施源器后导入放射源进行的治疗。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371</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359"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近距离治疗（后装）-二维近距离治疗计划（加收）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通过二维近距离治疗计划在人体内置入施源器后导入放射源进行的治疗。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171</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9" w:hRule="atLeast"/>
          <w:jc w:val="center"/>
        </w:trPr>
        <w:tc>
          <w:tcPr>
            <w:tcW w:w="411"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013401040010012</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近距离治疗（后装）-三维近距离治疗计划（加收）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通过三维近距离治疗计划在人体内置入施源器后导入放射源进行的治疗。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371</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4" w:hRule="atLeast"/>
          <w:jc w:val="center"/>
        </w:trPr>
        <w:tc>
          <w:tcPr>
            <w:tcW w:w="411"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013401040010021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近距离治疗（后装）-组织间插植/放射粒子植入（加收）</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通过组织间插植/放射粒子植入在人体内置入施源器后导入放射源进行的治疗。</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684</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581</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99"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内照射治疗（核素常规）</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通过口服、注射植入放射性核素，达到治疗恶性肿瘤和其他疾病的目的。</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所定价格涵盖治疗计划制定、放射性药品的标记与分装、注射或口服给药、防护器材使用、放射性废弃物处理、环境监测等步骤所需的人力资源与基本物质资源消耗。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475</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428</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404</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1.99锝（云克）治疗66元</w:t>
            </w:r>
            <w:r>
              <w:rPr>
                <w:rFonts w:hint="eastAsia" w:ascii="宋体" w:hAnsi="宋体" w:eastAsia="宋体" w:cs="宋体"/>
                <w:i w:val="0"/>
                <w:iCs w:val="0"/>
                <w:color w:val="auto"/>
                <w:kern w:val="0"/>
                <w:sz w:val="20"/>
                <w:szCs w:val="20"/>
                <w:u w:val="none"/>
                <w:lang w:val="en-US" w:eastAsia="zh" w:bidi="ar"/>
              </w:rPr>
              <w:t>。</w:t>
            </w:r>
            <w:r>
              <w:rPr>
                <w:rFonts w:hint="eastAsia" w:ascii="宋体" w:hAnsi="宋体" w:eastAsia="宋体" w:cs="宋体"/>
                <w:i w:val="0"/>
                <w:iCs w:val="0"/>
                <w:color w:val="auto"/>
                <w:kern w:val="0"/>
                <w:sz w:val="20"/>
                <w:szCs w:val="20"/>
                <w:u w:val="none"/>
                <w:lang w:val="en-US" w:eastAsia="zh-CN" w:bidi="ar"/>
              </w:rPr>
              <w:t xml:space="preserve">                                                                           2.大剂量核素药物加收100%。</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2429"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14</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013402000020000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内照射治疗（核素介入）</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通过组织间介入或血管介入方式植入放射性核素，辐射杀死病变细胞或缩小病灶，从而达到治疗癌症和其他疾病的目的。</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所定价格涵盖治疗计划制定、放射性药品的标记与分装、经皮穿刺或经血管介入给药、防护器材使用、放射性废弃物处理、环境监测等步骤所需的人力资源与基本物质资源消耗。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1159</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1043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985</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24" w:hRule="atLeast"/>
          <w:jc w:val="center"/>
        </w:trPr>
        <w:tc>
          <w:tcPr>
            <w:tcW w:w="411"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w:t>
            </w:r>
          </w:p>
        </w:tc>
        <w:tc>
          <w:tcPr>
            <w:tcW w:w="165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013402000030000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放射性核素敷贴治疗</w:t>
            </w:r>
          </w:p>
        </w:tc>
        <w:tc>
          <w:tcPr>
            <w:tcW w:w="315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通过放射性核素嵌入的敷贴，覆盖在病变区域，提供高剂量局部辐射，达到治疗浅表病变的目的。</w:t>
            </w:r>
          </w:p>
        </w:tc>
        <w:tc>
          <w:tcPr>
            <w:tcW w:w="280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所定价格涵盖治疗计划制定、放射性药品的标记与分装、制备、敷贴、防护器材使用、放射性废弃物处理、环境监测等步骤所需的人力资源与基本物质资源消耗。</w:t>
            </w:r>
          </w:p>
        </w:tc>
        <w:tc>
          <w:tcPr>
            <w:tcW w:w="529"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67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9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303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用敷贴器治疗时每照射野为一次。</w:t>
            </w:r>
          </w:p>
        </w:tc>
        <w:tc>
          <w:tcPr>
            <w:tcW w:w="59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61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治疗 费</w:t>
            </w:r>
          </w:p>
        </w:tc>
      </w:tr>
    </w:tbl>
    <w:p>
      <w:pPr>
        <w:pageBreakBefore/>
        <w:rPr>
          <w:rFonts w:hint="default" w:ascii="Times New Roman" w:hAnsi="Times New Roman" w:eastAsia="黑体" w:cs="Times New Roman"/>
          <w:b w:val="0"/>
          <w:bCs w:val="0"/>
          <w:color w:val="auto"/>
          <w:sz w:val="30"/>
          <w:szCs w:val="30"/>
          <w:lang w:val="en-US" w:eastAsia="zh-CN"/>
        </w:rPr>
      </w:pPr>
      <w:r>
        <w:rPr>
          <w:rFonts w:hint="default" w:ascii="Times New Roman" w:hAnsi="Times New Roman" w:eastAsia="黑体" w:cs="Times New Roman"/>
          <w:b w:val="0"/>
          <w:bCs w:val="0"/>
          <w:color w:val="auto"/>
          <w:sz w:val="30"/>
          <w:szCs w:val="30"/>
          <w:lang w:val="en-US" w:eastAsia="zh-CN"/>
        </w:rPr>
        <w:t>附件5</w:t>
      </w:r>
    </w:p>
    <w:p>
      <w:pPr>
        <w:keepNext w:val="0"/>
        <w:keepLines w:val="0"/>
        <w:pageBreakBefore w:val="0"/>
        <w:widowControl w:val="0"/>
        <w:kinsoku/>
        <w:wordWrap/>
        <w:overflowPunct/>
        <w:topLinePunct w:val="0"/>
        <w:autoSpaceDE/>
        <w:autoSpaceDN/>
        <w:bidi w:val="0"/>
        <w:adjustRightInd/>
        <w:snapToGrid w:val="0"/>
        <w:spacing w:before="118" w:beforeLines="20" w:after="118" w:afterLines="20"/>
        <w:ind w:firstLine="880" w:firstLineChars="200"/>
        <w:jc w:val="center"/>
        <w:textAlignment w:val="auto"/>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整合后康复类医疗服务价格项目表</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i w:val="0"/>
          <w:iCs w:val="0"/>
          <w:color w:val="auto"/>
          <w:kern w:val="0"/>
          <w:sz w:val="24"/>
          <w:szCs w:val="24"/>
          <w:u w:val="none"/>
          <w:lang w:val="en-US" w:eastAsia="zh-CN" w:bidi="ar"/>
        </w:rPr>
        <w:t>使用说明：</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1.“价格构成”指项目价格应涵盖的各类资源消耗，用于确定计价单元的边界，不应作为临床技术标准理解，不是实际操作方式、路径、步骤、程序的强制性要求，价格构成中包含，但个别临床实践中非必要、未发生的，无需强制要求公立医疗机构减计费用。所列“设备投入”包括但不限于操作设备、器具及固定资产投入。</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2.“加收项”指同一项目以不同方式提供或在不同场景应用时，确有必要制定差异化收费标准而细分的一类子项。</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3.“扩展项”指同一项目下以不同方式提供或在不同场景应用时，只扩展价格项目适用范围、不额外加价的一类子项，子项的价格按主项目执行。</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4.“基本物质资源消耗”指原则上限于不应或不必要与医疗服务项目分割的易耗品，包括但不限于各类消毒用品、储存用品、清洁用品、个人防护用品、标签、垃圾处理用品、治疗巾（单）、棉球、棉签、纱布（垫）、普通绷带、固定带、治疗护理盘（包）、护（尿）垫、中单、可复用训练器具、软件（版权、开发、购买）成本等。基本物质资源消耗成本计入项目价格，不另行收费。</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5.涉及“包括……”“……等”的，属于开放型表述，所指对象不仅局限于表述中列明的事项，也包括未列明的同类事项，以国家级技术规范、临床指南或专家共识中的明确定性为依据。</w:t>
      </w:r>
    </w:p>
    <w:p>
      <w:pPr>
        <w:keepNext w:val="0"/>
        <w:keepLines w:val="0"/>
        <w:pageBreakBefore w:val="0"/>
        <w:widowControl/>
        <w:suppressLineNumbers w:val="0"/>
        <w:kinsoku/>
        <w:wordWrap/>
        <w:overflowPunct/>
        <w:topLinePunct w:val="0"/>
        <w:autoSpaceDE/>
        <w:autoSpaceDN/>
        <w:bidi w:val="0"/>
        <w:adjustRightInd/>
        <w:snapToGrid/>
        <w:spacing w:line="340" w:lineRule="exact"/>
        <w:jc w:val="left"/>
        <w:textAlignment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val="0"/>
          <w:bCs w:val="0"/>
          <w:i w:val="0"/>
          <w:iCs w:val="0"/>
          <w:color w:val="auto"/>
          <w:kern w:val="0"/>
          <w:sz w:val="24"/>
          <w:szCs w:val="24"/>
          <w:u w:val="none"/>
          <w:lang w:val="en-US" w:eastAsia="zh-CN" w:bidi="ar"/>
        </w:rPr>
        <w:t>6.“人工智能辅助检查或训练”是指应用人工智能技术辅助进行的康复检查或训练，不得与主项目同时收费。                                                                                                                                                                                                         7.康复训练项目以半小时为基价，根据实际开展时长累加计费至封顶时长，同一计费时间段内不得与其他康复类医疗服务价格项目叠加计费。</w:t>
      </w:r>
    </w:p>
    <w:p>
      <w:pPr>
        <w:pStyle w:val="2"/>
        <w:rPr>
          <w:rFonts w:hint="eastAsia" w:ascii="仿宋" w:hAnsi="仿宋" w:eastAsia="仿宋" w:cs="仿宋"/>
          <w:b w:val="0"/>
          <w:bCs w:val="0"/>
          <w:i w:val="0"/>
          <w:iCs w:val="0"/>
          <w:color w:val="auto"/>
          <w:kern w:val="0"/>
          <w:sz w:val="24"/>
          <w:szCs w:val="24"/>
          <w:u w:val="none"/>
          <w:lang w:val="en-US" w:eastAsia="zh-CN" w:bidi="ar"/>
        </w:rPr>
      </w:pPr>
    </w:p>
    <w:p>
      <w:pPr>
        <w:pStyle w:val="2"/>
        <w:rPr>
          <w:rFonts w:hint="eastAsia"/>
          <w:lang w:val="en-US" w:eastAsia="zh-CN"/>
        </w:rPr>
      </w:pPr>
    </w:p>
    <w:tbl>
      <w:tblPr>
        <w:tblStyle w:val="8"/>
        <w:tblW w:w="16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68"/>
        <w:gridCol w:w="1620"/>
        <w:gridCol w:w="1470"/>
        <w:gridCol w:w="3060"/>
        <w:gridCol w:w="2880"/>
        <w:gridCol w:w="555"/>
        <w:gridCol w:w="570"/>
        <w:gridCol w:w="645"/>
        <w:gridCol w:w="570"/>
        <w:gridCol w:w="2055"/>
        <w:gridCol w:w="600"/>
        <w:gridCol w:w="585"/>
        <w:gridCol w:w="1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blHeader/>
          <w:jc w:val="center"/>
        </w:trPr>
        <w:tc>
          <w:tcPr>
            <w:tcW w:w="368"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序号</w:t>
            </w:r>
          </w:p>
        </w:tc>
        <w:tc>
          <w:tcPr>
            <w:tcW w:w="162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项目代码</w:t>
            </w:r>
          </w:p>
        </w:tc>
        <w:tc>
          <w:tcPr>
            <w:tcW w:w="147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项目名称</w:t>
            </w:r>
          </w:p>
        </w:tc>
        <w:tc>
          <w:tcPr>
            <w:tcW w:w="306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服务产出</w:t>
            </w:r>
          </w:p>
        </w:tc>
        <w:tc>
          <w:tcPr>
            <w:tcW w:w="288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价格构成</w:t>
            </w:r>
          </w:p>
        </w:tc>
        <w:tc>
          <w:tcPr>
            <w:tcW w:w="55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计价单位</w:t>
            </w:r>
          </w:p>
        </w:tc>
        <w:tc>
          <w:tcPr>
            <w:tcW w:w="1785" w:type="dxa"/>
            <w:gridSpan w:val="3"/>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kern w:val="0"/>
                <w:sz w:val="20"/>
                <w:szCs w:val="20"/>
              </w:rPr>
              <w:t>价格（元）</w:t>
            </w:r>
          </w:p>
        </w:tc>
        <w:tc>
          <w:tcPr>
            <w:tcW w:w="205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计价说明</w:t>
            </w:r>
          </w:p>
        </w:tc>
        <w:tc>
          <w:tcPr>
            <w:tcW w:w="600"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rPr>
            </w:pPr>
            <w:r>
              <w:rPr>
                <w:rFonts w:hint="eastAsia" w:ascii="宋体" w:hAnsi="宋体" w:eastAsia="宋体" w:cs="宋体"/>
                <w:b/>
                <w:bCs/>
                <w:i w:val="0"/>
                <w:iCs w:val="0"/>
                <w:color w:val="000000"/>
                <w:kern w:val="0"/>
                <w:sz w:val="20"/>
                <w:szCs w:val="20"/>
                <w:lang w:val="en-US" w:eastAsia="zh-CN" w:bidi="ar"/>
              </w:rPr>
              <w:t>支付分类</w:t>
            </w:r>
          </w:p>
        </w:tc>
        <w:tc>
          <w:tcPr>
            <w:tcW w:w="585"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i w:val="0"/>
                <w:iCs w:val="0"/>
                <w:color w:val="000000"/>
                <w:kern w:val="0"/>
                <w:sz w:val="20"/>
                <w:szCs w:val="20"/>
                <w:lang w:val="en-US" w:eastAsia="zh-CN" w:bidi="ar"/>
              </w:rPr>
              <w:t>统计分类</w:t>
            </w:r>
          </w:p>
        </w:tc>
        <w:tc>
          <w:tcPr>
            <w:tcW w:w="1461" w:type="dxa"/>
            <w:vMerge w:val="restart"/>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color w:val="000000"/>
                <w:kern w:val="0"/>
                <w:sz w:val="20"/>
                <w:szCs w:val="20"/>
                <w:lang w:val="en-US" w:eastAsia="zh-CN"/>
              </w:rPr>
            </w:pPr>
            <w:r>
              <w:rPr>
                <w:rFonts w:hint="eastAsia" w:ascii="宋体" w:hAnsi="宋体" w:eastAsia="宋体" w:cs="宋体"/>
                <w:b/>
                <w:bCs/>
                <w:color w:val="000000"/>
                <w:kern w:val="0"/>
                <w:sz w:val="20"/>
                <w:szCs w:val="20"/>
                <w:lang w:val="en-US" w:eastAsia="zh-CN"/>
              </w:rPr>
              <w:t>医保支付</w:t>
            </w:r>
          </w:p>
          <w:p>
            <w:pPr>
              <w:keepNext w:val="0"/>
              <w:keepLines w:val="0"/>
              <w:widowControl/>
              <w:suppressLineNumbers w:val="0"/>
              <w:spacing w:before="0" w:beforeAutospacing="0" w:after="0" w:afterAutospacing="0" w:line="280" w:lineRule="exact"/>
              <w:ind w:left="0" w:right="0"/>
              <w:jc w:val="center"/>
              <w:textAlignment w:val="center"/>
              <w:rPr>
                <w:rFonts w:hint="eastAsia" w:ascii="宋体" w:hAnsi="宋体" w:eastAsia="宋体" w:cs="宋体"/>
                <w:b/>
                <w:bCs/>
                <w:i w:val="0"/>
                <w:iCs w:val="0"/>
                <w:color w:val="000000"/>
                <w:kern w:val="0"/>
                <w:sz w:val="20"/>
                <w:szCs w:val="20"/>
                <w:lang w:val="en-US" w:eastAsia="zh-CN" w:bidi="ar"/>
              </w:rPr>
            </w:pPr>
            <w:r>
              <w:rPr>
                <w:rFonts w:hint="eastAsia" w:ascii="宋体" w:hAnsi="宋体" w:eastAsia="宋体" w:cs="宋体"/>
                <w:b/>
                <w:bCs/>
                <w:color w:val="000000"/>
                <w:kern w:val="0"/>
                <w:sz w:val="20"/>
                <w:szCs w:val="20"/>
                <w:lang w:val="en-US" w:eastAsia="zh-CN"/>
              </w:rPr>
              <w:t>限定范围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0" w:hRule="atLeast"/>
          <w:tblHeader/>
          <w:jc w:val="center"/>
        </w:trPr>
        <w:tc>
          <w:tcPr>
            <w:tcW w:w="368"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62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47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306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288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5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三级公立医疗机构</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二级公立医疗机构</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default"/>
                <w:sz w:val="20"/>
                <w:szCs w:val="20"/>
              </w:rPr>
            </w:pPr>
            <w:r>
              <w:rPr>
                <w:rFonts w:hint="eastAsia" w:ascii="宋体" w:hAnsi="宋体" w:eastAsia="宋体" w:cs="宋体"/>
                <w:b/>
                <w:bCs/>
                <w:color w:val="000000"/>
                <w:kern w:val="0"/>
                <w:sz w:val="20"/>
                <w:szCs w:val="20"/>
              </w:rPr>
              <w:t>一级公立医疗机构</w:t>
            </w:r>
          </w:p>
        </w:tc>
        <w:tc>
          <w:tcPr>
            <w:tcW w:w="205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600"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585"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c>
          <w:tcPr>
            <w:tcW w:w="1461" w:type="dxa"/>
            <w:vMerge w:val="continue"/>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default"/>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58"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应用常用工具、仪器设备和软件程序等方式，对患者的记忆、注意、执行等认知功能水平进行测评分析，做出认知功能有无障碍及严重程度的判断。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限认知知觉功能障碍患者，一个疾病过程支付不超过4次（包含扩展项目合并计算）。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015100000010100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应用常用工具、仪器设备和软件程序等方式，对患者的记忆、注意、执行等认知功能水平进行测评分析，做出认知功能有无障碍及严重程度的判断。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9"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015100000020000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应用各种筛查技术以及食物稠度粘度测试等临床吞咽功能检查方式，对影响患者吞咽过程的器官结构及功能进行检查，做出吞咽功能有无障碍及严重程度的判断。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一个疾病过程支付不超过3次（包含扩展项目合并计算）。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015100000020100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应用各种筛查技术以及食物稠度粘度测试等临床吞咽功能检查方式，对影响患者吞咽过程的器官结构及功能进行检查，做出吞咽功能有无障碍及严重程度的判断。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48"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015100000030000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应用言语-语言筛查工具及设备、构音评估方法等手段，对患者的发声、构音等言语能力及听理解、复述、朗读等语言能力进行测查分析，做出言语-语言功能有无障碍及严重程度的判断。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限言语功能障碍患者，不包括言语功能无法恢复的患者。一个疾病过程支付不超过2次（包含扩展项目合并计算）。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9"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015100000030100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应用言语-语言筛查工具及设备、构音评估方法等手段，对患者的发声、构音等言语能力及听理解、复述、朗读等语言能力进行测查分析，做出言语-语言功能有无障碍及严重程度的判断。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9"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015100000040000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应用各种方式，对患者的肌力、关节活动范围、平衡功能、步态、体态等运动功能进行测查分析，做出运动功能有无障碍及严重程度的判断。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评定间隔时间不短于14天（包含扩展项目合并计算）。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015100000040100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应用各种方式，对患者的肌力、关节活动范围、平衡功能、步态、体态等运动功能进行测查分析，做出运动功能有无障碍及严重程度的判断。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5</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015100000050000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应用各种工具、仪器设备等方式，对患者的运动心功能、运动肺功能、呼吸肌功能、膀胱容量等脏器功能进行检查分析，做出脏器功能有无障碍及严重程度的判断。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9"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015100000050100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应用各种工具、仪器设备等方式，对患者的运动心功能、运动肺功能、呼吸肌功能、膀胱容量等脏器功能进行检查分析，做出脏器功能有无障碍及严重程度的判断。</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9"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015100000060000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神经发育障碍检查</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由受培训专业人员、运用专门工具对于患者的认知、注意力、执行功能、社会、情感、智力、运动能力的发育和发展进行评估结果，为神经发育障碍患者的诊断、治疗和康复提供依据。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不与临床量表项目同时收取。</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09"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015100000060100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神经发育障碍检查-人工智能辅助检查（扩展）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由受培训专业人员、运用专门工具对于患者的认知、注意力、执行功能、社会、情感、智力、运动能力的发育和发展进行评估结果，为神经发育障碍患者的诊断、治疗和康复提供依据。</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检   查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59" w:hRule="exac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default" w:ascii="宋体" w:hAnsi="宋体" w:eastAsia="宋体" w:cs="宋体"/>
                <w:i w:val="0"/>
                <w:iCs w:val="0"/>
                <w:color w:val="auto"/>
                <w:kern w:val="0"/>
                <w:sz w:val="20"/>
                <w:szCs w:val="20"/>
                <w:u w:val="none"/>
                <w:lang w:val="en-US" w:eastAsia="zh-CN" w:bidi="ar"/>
              </w:rPr>
              <w:t>7</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意识功能训练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通过康复手段对各种疾病造成的昏迷、意识功能障碍等进行康复治疗，改善意识水平。</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所定价格涵盖计划制定、手法及应用不同康复设备完成声、光、电等各种感觉刺激及各种无创脑调控技术等步骤所需的人力资源、设备成本与基本物质资源消耗。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1.主项（含扩展项）与加收项合并计费每日封顶114元；                                                                                                                                                2.此项目价格构成已涵盖声、光、电等各种感觉刺激费用，用于同一治疗目的时不再重复收取相关物理治疗项目费用。</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9" w:hRule="exac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意识功能训练-每增加10分钟（加收）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39" w:hRule="exac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015200000010100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意识功能训练-人工智能辅助训练（扩展）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通过康复手段对各种疾病造成的昏迷、意识功能障碍等进行康复治疗，改善意识水平。</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所定价格涵盖计划制定、手法及应用不同康复设备完成声、光、电等各种感觉刺激及各种无创脑调控技术等步骤所需的人力资源、设备成本与基本物质资源消耗。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8</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015200000020000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通过各种康复手段对认知功能障碍进行治疗，改善认知功能。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所定价格涵盖计划制定、手法及应用不同康复设备进行认知功能训练等步骤所需的人力资源、设备成本与基本物质资源消耗。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主项（含扩展项）与加收项合并计费每日封顶107元。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限器质性病变导致的认知知觉功能障碍。一个疾病过程支付不超过90天（包含扩展项目合并计算）。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015200000020001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015200000020100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通过各种康复手段对认知功能障碍进行治疗，改善认知功能。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所定价格涵盖计划制定、手法及应用不同康复设备进行认知功能训练等步骤所需的人力资源、设备成本与基本物质资源消耗。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015200000030000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通过各种康复手段对吞咽功能障碍进行治疗，改善摄食吞咽功能。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所定价格涵盖计划制定、手法及应用不同康复设备进行吞咽功能训练等步骤所需的人力资源、设备成本与基本物质资源消耗。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主项（含扩展项）与加收项合并计费每日封顶122元。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限中、重度吞咽功能障碍；一个疾病过程支付不超过90天（包含扩展项目合并计算）。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015200000030001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24" w:hRule="atLeast"/>
          <w:jc w:val="center"/>
        </w:trPr>
        <w:tc>
          <w:tcPr>
            <w:tcW w:w="3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015200000030100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通过各种康复手段对吞咽功能障碍进行治疗，改善摄食吞咽功能。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所定价格涵盖计划制定、手法及应用不同康复设备进行吞咽功能训练等步骤所需的人力资源、设备成本与基本物质资源消耗。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61</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52</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93"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10</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015200000040000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通过各种康复手段对言语-语言功能障碍进行治疗，改善言语-语言功能。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所定价格涵盖计划制定、手法及应用不同康复设备进行言语功能训练等步骤所需的人力资源、设备成本与基本物质资源消耗。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主项（含扩展项）与加收项合并计费每日封顶114元。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限器质性病变导致的中、重度语言障碍。一个疾病过程支付不超过90天（包含扩展项目合并计算）。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99"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015200000040001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015200000040100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通过各种康复手段对言语-语言功能障碍进行治疗，改善言语-语言功能。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所定价格涵盖计划制定、手法及应用不同康复设备进行言语功能训练等步骤所需的人力资源、设备成本与基本物质资源消耗。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20"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11</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通过各种康复手段对四肢和躯干的运动功能障碍进行治疗，改善躯体运动功能。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所定价格涵盖计划制定、手法及应用不同康复设备进行运动功能训练等步骤所需的人力资源、设备成本与基本物质资源消耗。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主项（含扩展项）与加收项合并计费，非水中训练每日封顶186元，水中训练每日封顶279元。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限器质性病变导致的肌力、关节活动度和平衡功能障碍。一个疾病过程支付不超90天（包含扩展项目合并计算）。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5"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bCs/>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015200000050011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运动功能训练-运动功能训练（水中）（加收）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通过各种康复手段在水中对四肢和躯干的运动功能障碍进行治疗，改善躯体运动功能。</w:t>
            </w: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b/>
                <w:bCs/>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left"/>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通过各种康复手段对四肢和躯干的运动功能障碍进行治疗，改善躯体运动功能。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所定价格涵盖计划制定、手法及应用不同康复设备进行运动功能训练等步骤所需的人力资源、设备成本与基本物质资源消耗。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015200000060000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通过各种康复手段对脏器功能障碍进行治疗，改善相关脏器功能。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所定价格涵盖计划制定、手法及应用不同康复设备进行脏器功能训练等步骤所需的人力资源、设备成本与基本物质资源消耗。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主项（含扩展项）与加收项合并计费每日封顶73元。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限器质性病变导致的脏器功能障碍。1个疾病过程支付不超过90天（包含扩展项目合并计算）。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5"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015200000060001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5"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015200000060100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通过各种康复手段对脏器功能障碍进行治疗，改善相关脏器功能。</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所定价格涵盖计划制定、手法及应用不同康复设备进行脏器功能训练等步骤所需的人力资源、设备成本与基本物质资源消耗。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015200000070000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辅助器具使用训练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通过选取合适的各种辅助（器）具，结合日常生活活动的训练，提高患者使用辅助器具的能力。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所定价格涵盖计划制定、各种辅助（器）具训练等步骤所需的人力资源和基本物质资源消耗。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主项（含扩展项）与加收项合并计费每日封顶32元。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6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015200000070001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辅助器具使用训练-每增加10分钟（加收）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6.9</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015200000070100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辅助器具使用训练-人工智能辅助训练（扩展）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通过选取合适的各种辅助（器）具，结合日常生活活动的训练，提高患者使用辅助器具的能力。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所定价格涵盖计划制定、各种辅助（器）具训练等步骤所需的人力资源和基本物质资源消耗。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60"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14</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015200000080000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生活技能康复训练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通过各种康复手段（含徒手、仪器或器械）对患者进行独立生活能力、家务劳动、社交技能等多方面康复训练，改善患者从日常生活到职业生涯全方位的能力。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限器质性病变导致的生活、工作能力障碍。一个疾病过程支付不超过90天（包含扩展项目合并计算）。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015200000080001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生活技能康复训练-每增加10分钟（加收）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015200000080100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生活技能康复训练-人工智能辅助训练（扩展）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通过各种康复手段（含徒手、仪器或器械）对患者进行独立生活能力、家务劳动、社交技能等多方面康复训练，改善患者从日常生活到职业生涯全方位的能力。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51</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4" w:hRule="atLeast"/>
          <w:jc w:val="center"/>
        </w:trPr>
        <w:tc>
          <w:tcPr>
            <w:tcW w:w="368"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015200000090000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职业技能康复训练</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通过各种康复手段（含徒手、仪器或器械）对患者进行独立职业技能、工作模拟等多方面康复训练，改善患者从日常生活到职业生涯全方位的能力。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主项（含扩展项）与加收项合并计费每日封顶107元。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限法定就业年龄段且有就业意愿，经过PARQ医学筛查适合进行职业功能训练的患者，支付不超过90天（包含扩展项目合并计算）。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015200000090001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职业技能康复训练-每增加10分钟（加收）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015200000090100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职业技能康复训练-人工智能辅助训练（扩展）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通过各种康复手段（含徒手、仪器或器械）对患者进行独立职业技能、工作模拟等多方面康复训练，改善患者从日常生活到职业生涯全方位的能力。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4"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16</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015200000100000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神经发育障碍康复训练（个体）</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采用一对一的形式，根据患者发育和能力评估结果制定计划，对患者进行技能训练，帮助患儿提升能力。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主项（含扩展项）与加收项合并计费每日封顶107元。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限6周岁及以下儿童支付。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015200000100001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神经发育障碍康复训练（个体）-每增加10分钟（加收）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55"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015200000100100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神经发育障碍康复训练（个体）-人工智能辅助训练（扩展）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采用一对一的形式，根据患者发育和能力评估结果制定计划，对患者进行技能训练，帮助患儿提升能力。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53</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45</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10" w:hRule="atLeast"/>
          <w:jc w:val="center"/>
        </w:trPr>
        <w:tc>
          <w:tcPr>
            <w:tcW w:w="368" w:type="dxa"/>
            <w:vMerge w:val="restart"/>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17</w:t>
            </w: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015200000110000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神经发育障碍康复训练（团体）</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通过一对多的形式，根据患者发育和能力评估结果制定计划，对患者进行技能训练，帮助患儿提升能力。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团体训练人数不得超过15人。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主项（含扩展项）与加收项合并计费每日封顶61元。</w:t>
            </w: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限6周岁及以下儿童支付。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74"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015200000110001</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神经发育障碍康复训练（团体）-每增加10分钟（加收）</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2880"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i w:val="0"/>
                <w:iCs w:val="0"/>
                <w:color w:val="auto"/>
                <w:kern w:val="0"/>
                <w:sz w:val="20"/>
                <w:szCs w:val="20"/>
                <w:u w:val="none"/>
                <w:lang w:val="en-US" w:eastAsia="zh-CN" w:bidi="ar"/>
              </w:rPr>
            </w:pP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每10分钟</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50" w:hRule="atLeast"/>
          <w:jc w:val="center"/>
        </w:trPr>
        <w:tc>
          <w:tcPr>
            <w:tcW w:w="368" w:type="dxa"/>
            <w:vMerge w:val="continue"/>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default" w:ascii="宋体" w:hAnsi="宋体" w:eastAsia="宋体" w:cs="宋体"/>
                <w:i w:val="0"/>
                <w:iCs w:val="0"/>
                <w:color w:val="auto"/>
                <w:kern w:val="0"/>
                <w:sz w:val="20"/>
                <w:szCs w:val="20"/>
                <w:u w:val="none"/>
                <w:lang w:val="en-US" w:eastAsia="zh-CN" w:bidi="ar"/>
              </w:rPr>
            </w:pPr>
          </w:p>
        </w:tc>
        <w:tc>
          <w:tcPr>
            <w:tcW w:w="1620"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015200000110100</w:t>
            </w:r>
          </w:p>
        </w:tc>
        <w:tc>
          <w:tcPr>
            <w:tcW w:w="147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神经发育障碍康复训练（团体）-人工智能辅助训练（扩展）</w:t>
            </w:r>
          </w:p>
        </w:tc>
        <w:tc>
          <w:tcPr>
            <w:tcW w:w="306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通过一对多的形式，根据患者发育和能力评估结果制定计划，对患者进行技能训练，帮助患儿提升能力。</w:t>
            </w:r>
          </w:p>
        </w:tc>
        <w:tc>
          <w:tcPr>
            <w:tcW w:w="288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555" w:type="dxa"/>
            <w:shd w:val="clear" w:color="auto" w:fill="auto"/>
            <w:noWrap/>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w:t>
            </w:r>
          </w:p>
        </w:tc>
        <w:tc>
          <w:tcPr>
            <w:tcW w:w="645"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570" w:type="dxa"/>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w:t>
            </w:r>
          </w:p>
        </w:tc>
        <w:tc>
          <w:tcPr>
            <w:tcW w:w="205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c>
          <w:tcPr>
            <w:tcW w:w="600"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58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治 疗 费</w:t>
            </w:r>
          </w:p>
        </w:tc>
        <w:tc>
          <w:tcPr>
            <w:tcW w:w="1461"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i w:val="0"/>
                <w:iCs w:val="0"/>
                <w:color w:val="auto"/>
                <w:kern w:val="0"/>
                <w:sz w:val="20"/>
                <w:szCs w:val="20"/>
                <w:u w:val="none"/>
                <w:lang w:val="en-US" w:eastAsia="zh-CN" w:bidi="ar"/>
              </w:rPr>
            </w:pPr>
          </w:p>
        </w:tc>
      </w:tr>
    </w:tbl>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p>
    <w:p>
      <w:pPr>
        <w:rPr>
          <w:rFonts w:hint="default" w:ascii="Times New Roman" w:hAnsi="Times New Roman" w:eastAsia="黑体" w:cs="Times New Roman"/>
          <w:b w:val="0"/>
          <w:bCs w:val="0"/>
          <w:color w:val="auto"/>
          <w:sz w:val="32"/>
          <w:szCs w:val="32"/>
          <w:lang w:val="en-US" w:eastAsia="zh-CN"/>
        </w:rPr>
      </w:pPr>
    </w:p>
    <w:p>
      <w:pPr>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附件6</w:t>
      </w:r>
    </w:p>
    <w:p>
      <w:pPr>
        <w:ind w:firstLine="880" w:firstLineChars="200"/>
        <w:jc w:val="center"/>
        <w:rPr>
          <w:rFonts w:hint="eastAsia" w:ascii="方正小标宋简体" w:hAnsi="方正小标宋简体" w:eastAsia="方正小标宋简体" w:cs="方正小标宋简体"/>
          <w:b w:val="0"/>
          <w:bCs w:val="0"/>
          <w:kern w:val="2"/>
          <w:sz w:val="40"/>
          <w:szCs w:val="40"/>
          <w:lang w:val="en-US" w:eastAsia="zh-CN" w:bidi="ar"/>
        </w:rPr>
      </w:pPr>
      <w:r>
        <w:rPr>
          <w:rFonts w:hint="eastAsia" w:ascii="方正小标宋_GBK" w:hAnsi="方正小标宋_GBK" w:eastAsia="方正小标宋_GBK" w:cs="方正小标宋_GBK"/>
          <w:b w:val="0"/>
          <w:bCs w:val="0"/>
          <w:color w:val="auto"/>
          <w:sz w:val="44"/>
          <w:szCs w:val="44"/>
          <w:lang w:val="en-US" w:eastAsia="zh-CN"/>
        </w:rPr>
        <w:t>废止医疗服务价格项目表</w:t>
      </w:r>
    </w:p>
    <w:tbl>
      <w:tblPr>
        <w:tblStyle w:val="9"/>
        <w:tblW w:w="15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30"/>
        <w:gridCol w:w="1316"/>
        <w:gridCol w:w="2535"/>
        <w:gridCol w:w="3120"/>
        <w:gridCol w:w="1020"/>
        <w:gridCol w:w="649"/>
        <w:gridCol w:w="840"/>
        <w:gridCol w:w="855"/>
        <w:gridCol w:w="765"/>
        <w:gridCol w:w="835"/>
        <w:gridCol w:w="2771"/>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tblHeader/>
          <w:jc w:val="center"/>
        </w:trPr>
        <w:tc>
          <w:tcPr>
            <w:tcW w:w="53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序号</w:t>
            </w:r>
          </w:p>
        </w:tc>
        <w:tc>
          <w:tcPr>
            <w:tcW w:w="1316"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项目编码</w:t>
            </w:r>
          </w:p>
        </w:tc>
        <w:tc>
          <w:tcPr>
            <w:tcW w:w="2535"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t>项目名称</w:t>
            </w:r>
          </w:p>
        </w:tc>
        <w:tc>
          <w:tcPr>
            <w:tcW w:w="312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项目内涵</w:t>
            </w:r>
          </w:p>
        </w:tc>
        <w:tc>
          <w:tcPr>
            <w:tcW w:w="102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除外内容</w:t>
            </w:r>
          </w:p>
        </w:tc>
        <w:tc>
          <w:tcPr>
            <w:tcW w:w="649"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计价</w:t>
            </w:r>
            <w:r>
              <w:rPr>
                <w:rFonts w:hint="eastAsia" w:ascii="黑体" w:hAnsi="黑体" w:eastAsia="黑体" w:cs="黑体"/>
                <w:b/>
                <w:bCs/>
                <w:i w:val="0"/>
                <w:iCs w:val="0"/>
                <w:color w:val="000000"/>
                <w:kern w:val="0"/>
                <w:sz w:val="20"/>
                <w:szCs w:val="20"/>
                <w:lang w:val="en-US" w:eastAsia="zh-CN" w:bidi="ar"/>
              </w:rPr>
              <w:br w:type="textWrapping"/>
            </w:r>
            <w:r>
              <w:rPr>
                <w:rFonts w:hint="eastAsia" w:ascii="黑体" w:hAnsi="黑体" w:eastAsia="黑体" w:cs="黑体"/>
                <w:b/>
                <w:bCs/>
                <w:i w:val="0"/>
                <w:iCs w:val="0"/>
                <w:color w:val="000000"/>
                <w:kern w:val="0"/>
                <w:sz w:val="20"/>
                <w:szCs w:val="20"/>
                <w:lang w:val="en-US" w:eastAsia="zh-CN" w:bidi="ar"/>
              </w:rPr>
              <w:t>单位</w:t>
            </w:r>
          </w:p>
        </w:tc>
        <w:tc>
          <w:tcPr>
            <w:tcW w:w="3295" w:type="dxa"/>
            <w:gridSpan w:val="4"/>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rPr>
            </w:pPr>
            <w:r>
              <w:rPr>
                <w:rFonts w:hint="eastAsia" w:ascii="黑体" w:hAnsi="黑体" w:eastAsia="黑体" w:cs="黑体"/>
                <w:b/>
                <w:bCs/>
                <w:kern w:val="0"/>
                <w:sz w:val="20"/>
                <w:szCs w:val="20"/>
              </w:rPr>
              <w:t>价格（元）</w:t>
            </w:r>
          </w:p>
        </w:tc>
        <w:tc>
          <w:tcPr>
            <w:tcW w:w="2771"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计价说明</w:t>
            </w:r>
          </w:p>
        </w:tc>
        <w:tc>
          <w:tcPr>
            <w:tcW w:w="658"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支付</w:t>
            </w:r>
            <w:r>
              <w:rPr>
                <w:rFonts w:hint="eastAsia" w:ascii="黑体" w:hAnsi="黑体" w:eastAsia="黑体" w:cs="黑体"/>
                <w:b/>
                <w:bCs/>
                <w:i w:val="0"/>
                <w:iCs w:val="0"/>
                <w:color w:val="000000"/>
                <w:kern w:val="0"/>
                <w:sz w:val="20"/>
                <w:szCs w:val="20"/>
                <w:lang w:val="en-US" w:eastAsia="zh-CN" w:bidi="ar"/>
              </w:rPr>
              <w:br w:type="textWrapping"/>
            </w:r>
            <w:r>
              <w:rPr>
                <w:rFonts w:hint="eastAsia" w:ascii="黑体" w:hAnsi="黑体" w:eastAsia="黑体" w:cs="黑体"/>
                <w:b/>
                <w:bCs/>
                <w:i w:val="0"/>
                <w:iCs w:val="0"/>
                <w:color w:val="000000"/>
                <w:kern w:val="0"/>
                <w:sz w:val="20"/>
                <w:szCs w:val="20"/>
                <w:lang w:val="en-US" w:eastAsia="zh-CN" w:bidi="ar"/>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blHeader/>
          <w:jc w:val="center"/>
        </w:trPr>
        <w:tc>
          <w:tcPr>
            <w:tcW w:w="53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1316"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2535"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312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102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649"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rPr>
              <w:t>三级公立医疗机构</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lang w:eastAsia="zh-CN"/>
              </w:rPr>
              <w:t>市</w:t>
            </w:r>
            <w:r>
              <w:rPr>
                <w:rFonts w:hint="eastAsia" w:ascii="黑体" w:hAnsi="黑体" w:eastAsia="黑体" w:cs="黑体"/>
                <w:b/>
                <w:bCs/>
                <w:color w:val="000000"/>
                <w:kern w:val="0"/>
                <w:sz w:val="20"/>
                <w:szCs w:val="20"/>
              </w:rPr>
              <w:t>二级公立医疗机构</w:t>
            </w:r>
          </w:p>
        </w:tc>
        <w:tc>
          <w:tcPr>
            <w:tcW w:w="765"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000000"/>
                <w:kern w:val="0"/>
                <w:sz w:val="20"/>
                <w:szCs w:val="20"/>
              </w:rPr>
            </w:pPr>
            <w:r>
              <w:rPr>
                <w:rFonts w:hint="eastAsia" w:ascii="黑体" w:hAnsi="黑体" w:eastAsia="黑体" w:cs="黑体"/>
                <w:b/>
                <w:bCs/>
                <w:color w:val="000000"/>
                <w:kern w:val="0"/>
                <w:sz w:val="20"/>
                <w:szCs w:val="20"/>
                <w:lang w:eastAsia="zh-CN"/>
              </w:rPr>
              <w:t>县</w:t>
            </w:r>
            <w:r>
              <w:rPr>
                <w:rFonts w:hint="eastAsia" w:ascii="黑体" w:hAnsi="黑体" w:eastAsia="黑体" w:cs="黑体"/>
                <w:b/>
                <w:bCs/>
                <w:color w:val="000000"/>
                <w:kern w:val="0"/>
                <w:sz w:val="20"/>
                <w:szCs w:val="20"/>
              </w:rPr>
              <w:t>二级公立医疗机构</w:t>
            </w:r>
          </w:p>
        </w:tc>
        <w:tc>
          <w:tcPr>
            <w:tcW w:w="835"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rPr>
              <w:t>一级公立医疗机构</w:t>
            </w:r>
          </w:p>
        </w:tc>
        <w:tc>
          <w:tcPr>
            <w:tcW w:w="2771"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658"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b/>
                <w:bCs/>
                <w:i w:val="0"/>
                <w:iCs w:val="0"/>
                <w:color w:val="auto"/>
                <w:kern w:val="0"/>
                <w:sz w:val="20"/>
                <w:szCs w:val="20"/>
                <w:u w:val="none"/>
                <w:lang w:val="en-US" w:eastAsia="zh-CN" w:bidi="ar"/>
              </w:rPr>
              <w:t>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110600001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救护车费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含来回里程。</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0"/>
                <w:sz w:val="20"/>
                <w:szCs w:val="20"/>
              </w:rPr>
            </w:pPr>
            <w:r>
              <w:rPr>
                <w:rFonts w:hint="eastAsia" w:ascii="宋体" w:hAnsi="宋体" w:eastAsia="宋体" w:cs="宋体"/>
                <w:i w:val="0"/>
                <w:iCs w:val="0"/>
                <w:color w:val="auto"/>
                <w:kern w:val="0"/>
                <w:sz w:val="20"/>
                <w:szCs w:val="20"/>
                <w:u w:val="none"/>
                <w:lang w:val="en-US" w:eastAsia="zh-CN" w:bidi="ar"/>
              </w:rPr>
              <w:t>过路过桥费、监护费</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车次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0"/>
                <w:sz w:val="20"/>
                <w:szCs w:val="20"/>
              </w:rPr>
            </w:pPr>
            <w:r>
              <w:rPr>
                <w:rFonts w:hint="eastAsia" w:ascii="宋体" w:hAnsi="宋体" w:eastAsia="宋体" w:cs="宋体"/>
                <w:i w:val="0"/>
                <w:iCs w:val="0"/>
                <w:color w:val="auto"/>
                <w:spacing w:val="0"/>
                <w:kern w:val="0"/>
                <w:sz w:val="20"/>
                <w:szCs w:val="20"/>
                <w:u w:val="none"/>
                <w:lang w:val="en-US" w:eastAsia="zh-CN" w:bidi="ar"/>
              </w:rPr>
              <w:t>五公里内按30元/车次收取，超过五公里，每公里按2元收取。</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110700001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取暖费（单人间）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110700002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取暖费（双人间）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110700003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取暖费（三人间）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110700004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取暖费（四人及以上）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110800001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空调降温费（单人间）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110800002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空调降温费（双人间）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i w:val="0"/>
                <w:iCs w:val="0"/>
                <w:color w:val="000000"/>
                <w:kern w:val="0"/>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i w:val="0"/>
                <w:i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110800003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空调降温费（三人间）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110800004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空调降温费（四人及以上）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10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11090000101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普通病房床位费（单人间）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母婴同室的婴儿床位费按母亲床位费的50%收取</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11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11090000102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普通病房双人间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12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11090000103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普通病房床位费三人间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13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11090000104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普通病房床位费四人及以上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blHeader/>
          <w:jc w:val="center"/>
        </w:trPr>
        <w:tc>
          <w:tcPr>
            <w:tcW w:w="53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序号</w:t>
            </w:r>
          </w:p>
        </w:tc>
        <w:tc>
          <w:tcPr>
            <w:tcW w:w="1316"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项目编码</w:t>
            </w:r>
          </w:p>
        </w:tc>
        <w:tc>
          <w:tcPr>
            <w:tcW w:w="2535"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1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IMG_256"/>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1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IMG_257"/>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drawing>
                <wp:inline distT="0" distB="0" distL="114300" distR="114300">
                  <wp:extent cx="95250" cy="9525"/>
                  <wp:effectExtent l="0" t="0" r="0" b="0"/>
                  <wp:docPr id="1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IMG_258"/>
                          <pic:cNvPicPr>
                            <a:picLocks noChangeAspect="1"/>
                          </pic:cNvPicPr>
                        </pic:nvPicPr>
                        <pic:blipFill>
                          <a:blip r:embed="rId10"/>
                          <a:stretch>
                            <a:fillRect/>
                          </a:stretch>
                        </pic:blipFill>
                        <pic:spPr>
                          <a:xfrm>
                            <a:off x="0" y="0"/>
                            <a:ext cx="95250" cy="9525"/>
                          </a:xfrm>
                          <a:prstGeom prst="rect">
                            <a:avLst/>
                          </a:prstGeom>
                          <a:noFill/>
                          <a:ln w="9525">
                            <a:noFill/>
                          </a:ln>
                        </pic:spPr>
                      </pic:pic>
                    </a:graphicData>
                  </a:graphic>
                </wp:inline>
              </w:drawing>
            </w:r>
            <w:r>
              <w:rPr>
                <w:rFonts w:hint="eastAsia" w:ascii="黑体" w:hAnsi="黑体" w:eastAsia="黑体" w:cs="黑体"/>
                <w:b/>
                <w:bCs/>
                <w:i w:val="0"/>
                <w:iCs w:val="0"/>
                <w:color w:val="000000"/>
                <w:kern w:val="0"/>
                <w:sz w:val="20"/>
                <w:szCs w:val="20"/>
                <w:lang w:val="en-US" w:eastAsia="zh-CN" w:bidi="ar"/>
              </w:rPr>
              <w:t>项目名称</w:t>
            </w:r>
          </w:p>
        </w:tc>
        <w:tc>
          <w:tcPr>
            <w:tcW w:w="312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项目内涵</w:t>
            </w:r>
          </w:p>
        </w:tc>
        <w:tc>
          <w:tcPr>
            <w:tcW w:w="1020"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除外内容</w:t>
            </w:r>
          </w:p>
        </w:tc>
        <w:tc>
          <w:tcPr>
            <w:tcW w:w="649"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计价</w:t>
            </w:r>
            <w:r>
              <w:rPr>
                <w:rFonts w:hint="eastAsia" w:ascii="黑体" w:hAnsi="黑体" w:eastAsia="黑体" w:cs="黑体"/>
                <w:b/>
                <w:bCs/>
                <w:i w:val="0"/>
                <w:iCs w:val="0"/>
                <w:color w:val="000000"/>
                <w:kern w:val="0"/>
                <w:sz w:val="20"/>
                <w:szCs w:val="20"/>
                <w:lang w:val="en-US" w:eastAsia="zh-CN" w:bidi="ar"/>
              </w:rPr>
              <w:br w:type="textWrapping"/>
            </w:r>
            <w:r>
              <w:rPr>
                <w:rFonts w:hint="eastAsia" w:ascii="黑体" w:hAnsi="黑体" w:eastAsia="黑体" w:cs="黑体"/>
                <w:b/>
                <w:bCs/>
                <w:i w:val="0"/>
                <w:iCs w:val="0"/>
                <w:color w:val="000000"/>
                <w:kern w:val="0"/>
                <w:sz w:val="20"/>
                <w:szCs w:val="20"/>
                <w:lang w:val="en-US" w:eastAsia="zh-CN" w:bidi="ar"/>
              </w:rPr>
              <w:t>单位</w:t>
            </w:r>
          </w:p>
        </w:tc>
        <w:tc>
          <w:tcPr>
            <w:tcW w:w="3295" w:type="dxa"/>
            <w:gridSpan w:val="4"/>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rPr>
            </w:pPr>
            <w:r>
              <w:rPr>
                <w:rFonts w:hint="eastAsia" w:ascii="黑体" w:hAnsi="黑体" w:eastAsia="黑体" w:cs="黑体"/>
                <w:b/>
                <w:bCs/>
                <w:kern w:val="0"/>
                <w:sz w:val="20"/>
                <w:szCs w:val="20"/>
              </w:rPr>
              <w:t>价格（元）</w:t>
            </w:r>
          </w:p>
        </w:tc>
        <w:tc>
          <w:tcPr>
            <w:tcW w:w="2771"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计价说明</w:t>
            </w:r>
          </w:p>
        </w:tc>
        <w:tc>
          <w:tcPr>
            <w:tcW w:w="658" w:type="dxa"/>
            <w:vMerge w:val="restart"/>
            <w:tcBorders>
              <w:top w:val="single" w:color="auto" w:sz="4" w:space="0"/>
              <w:left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bCs/>
                <w:i w:val="0"/>
                <w:iCs w:val="0"/>
                <w:color w:val="000000"/>
                <w:kern w:val="0"/>
                <w:sz w:val="20"/>
                <w:szCs w:val="20"/>
              </w:rPr>
            </w:pPr>
            <w:r>
              <w:rPr>
                <w:rFonts w:hint="eastAsia" w:ascii="黑体" w:hAnsi="黑体" w:eastAsia="黑体" w:cs="黑体"/>
                <w:b/>
                <w:bCs/>
                <w:i w:val="0"/>
                <w:iCs w:val="0"/>
                <w:color w:val="000000"/>
                <w:kern w:val="0"/>
                <w:sz w:val="20"/>
                <w:szCs w:val="20"/>
                <w:lang w:val="en-US" w:eastAsia="zh-CN" w:bidi="ar"/>
              </w:rPr>
              <w:t>支付</w:t>
            </w:r>
            <w:r>
              <w:rPr>
                <w:rFonts w:hint="eastAsia" w:ascii="黑体" w:hAnsi="黑体" w:eastAsia="黑体" w:cs="黑体"/>
                <w:b/>
                <w:bCs/>
                <w:i w:val="0"/>
                <w:iCs w:val="0"/>
                <w:color w:val="000000"/>
                <w:kern w:val="0"/>
                <w:sz w:val="20"/>
                <w:szCs w:val="20"/>
                <w:lang w:val="en-US" w:eastAsia="zh-CN" w:bidi="ar"/>
              </w:rPr>
              <w:br w:type="textWrapping"/>
            </w:r>
            <w:r>
              <w:rPr>
                <w:rFonts w:hint="eastAsia" w:ascii="黑体" w:hAnsi="黑体" w:eastAsia="黑体" w:cs="黑体"/>
                <w:b/>
                <w:bCs/>
                <w:i w:val="0"/>
                <w:iCs w:val="0"/>
                <w:color w:val="000000"/>
                <w:kern w:val="0"/>
                <w:sz w:val="20"/>
                <w:szCs w:val="20"/>
                <w:lang w:val="en-US" w:eastAsia="zh-CN" w:bidi="ar"/>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blHeader/>
          <w:jc w:val="center"/>
        </w:trPr>
        <w:tc>
          <w:tcPr>
            <w:tcW w:w="53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1316"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2535"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312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1020"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649"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rPr>
              <w:t>三级公立医疗机构</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lang w:eastAsia="zh-CN"/>
              </w:rPr>
              <w:t>市</w:t>
            </w:r>
            <w:r>
              <w:rPr>
                <w:rFonts w:hint="eastAsia" w:ascii="黑体" w:hAnsi="黑体" w:eastAsia="黑体" w:cs="黑体"/>
                <w:b/>
                <w:bCs/>
                <w:color w:val="000000"/>
                <w:kern w:val="0"/>
                <w:sz w:val="20"/>
                <w:szCs w:val="20"/>
              </w:rPr>
              <w:t>二级公立医疗机构</w:t>
            </w:r>
          </w:p>
        </w:tc>
        <w:tc>
          <w:tcPr>
            <w:tcW w:w="765"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color w:val="000000"/>
                <w:kern w:val="0"/>
                <w:sz w:val="20"/>
                <w:szCs w:val="20"/>
              </w:rPr>
            </w:pPr>
            <w:r>
              <w:rPr>
                <w:rFonts w:hint="eastAsia" w:ascii="黑体" w:hAnsi="黑体" w:eastAsia="黑体" w:cs="黑体"/>
                <w:b/>
                <w:bCs/>
                <w:color w:val="000000"/>
                <w:kern w:val="0"/>
                <w:sz w:val="20"/>
                <w:szCs w:val="20"/>
                <w:lang w:eastAsia="zh-CN"/>
              </w:rPr>
              <w:t>县</w:t>
            </w:r>
            <w:r>
              <w:rPr>
                <w:rFonts w:hint="eastAsia" w:ascii="黑体" w:hAnsi="黑体" w:eastAsia="黑体" w:cs="黑体"/>
                <w:b/>
                <w:bCs/>
                <w:color w:val="000000"/>
                <w:kern w:val="0"/>
                <w:sz w:val="20"/>
                <w:szCs w:val="20"/>
              </w:rPr>
              <w:t>二级公立医疗机构</w:t>
            </w:r>
          </w:p>
        </w:tc>
        <w:tc>
          <w:tcPr>
            <w:tcW w:w="835" w:type="dxa"/>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line="280" w:lineRule="exact"/>
              <w:ind w:left="0" w:right="0"/>
              <w:jc w:val="center"/>
              <w:textAlignment w:val="center"/>
              <w:rPr>
                <w:rFonts w:hint="eastAsia" w:ascii="黑体" w:hAnsi="黑体" w:eastAsia="黑体" w:cs="黑体"/>
                <w:b/>
                <w:bCs/>
                <w:kern w:val="0"/>
                <w:sz w:val="20"/>
                <w:szCs w:val="20"/>
                <w:lang w:val="en-US" w:eastAsia="zh-CN" w:bidi="ar-SA"/>
              </w:rPr>
            </w:pPr>
            <w:r>
              <w:rPr>
                <w:rFonts w:hint="eastAsia" w:ascii="黑体" w:hAnsi="黑体" w:eastAsia="黑体" w:cs="黑体"/>
                <w:b/>
                <w:bCs/>
                <w:color w:val="000000"/>
                <w:kern w:val="0"/>
                <w:sz w:val="20"/>
                <w:szCs w:val="20"/>
              </w:rPr>
              <w:t>一级公立医疗机构</w:t>
            </w:r>
          </w:p>
        </w:tc>
        <w:tc>
          <w:tcPr>
            <w:tcW w:w="2771"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c>
          <w:tcPr>
            <w:tcW w:w="658" w:type="dxa"/>
            <w:vMerge w:val="continue"/>
            <w:tcBorders>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jc w:val="center"/>
              <w:textAlignment w:val="center"/>
              <w:rPr>
                <w:rFonts w:hint="eastAsia" w:ascii="黑体" w:hAnsi="黑体" w:eastAsia="黑体" w:cs="黑体"/>
                <w:b w:val="0"/>
                <w:bCs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b/>
                <w:bCs/>
                <w:i w:val="0"/>
                <w:iCs w:val="0"/>
                <w:color w:val="auto"/>
                <w:kern w:val="0"/>
                <w:sz w:val="20"/>
                <w:szCs w:val="20"/>
                <w:u w:val="none"/>
                <w:lang w:val="en-US" w:eastAsia="zh-CN" w:bidi="ar"/>
              </w:rPr>
              <w:t>14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110900002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层流洁净病房床位费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1.指达到规定洁净级别、有层流装置、风淋通道的层流洁净间；2.指采用全封闭管理，有严格消毒隔离措施及对外通话系统。</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0"/>
                <w:sz w:val="20"/>
                <w:szCs w:val="20"/>
              </w:rPr>
            </w:pPr>
            <w:r>
              <w:rPr>
                <w:rFonts w:hint="eastAsia" w:ascii="宋体" w:hAnsi="宋体" w:eastAsia="宋体" w:cs="宋体"/>
                <w:i w:val="0"/>
                <w:iCs w:val="0"/>
                <w:color w:val="auto"/>
                <w:kern w:val="0"/>
                <w:sz w:val="20"/>
                <w:szCs w:val="20"/>
                <w:u w:val="none"/>
                <w:lang w:val="en-US" w:eastAsia="zh-CN" w:bidi="ar"/>
              </w:rPr>
              <w:t>层流洁净级别百级执行此价格，层流洁净级别为万级的为200元/床日，层流洁净级别为百万级的为100元/床日。</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kern w:val="0"/>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15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110900003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监护病房床位费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指配有中心监护，心电监护仪及其它监护抢救设施，符合ICU，CCU标准的单人或多人监护病房，相对封闭管理。</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rPr>
            </w:pPr>
            <w:r>
              <w:rPr>
                <w:rFonts w:hint="eastAsia" w:ascii="宋体" w:hAnsi="宋体" w:eastAsia="宋体" w:cs="宋体"/>
                <w:i w:val="0"/>
                <w:iCs w:val="0"/>
                <w:color w:val="000000"/>
                <w:kern w:val="0"/>
                <w:sz w:val="20"/>
                <w:szCs w:val="20"/>
                <w:u w:val="none"/>
                <w:lang w:val="en-US" w:eastAsia="zh-CN" w:bidi="ar"/>
              </w:rPr>
              <w:t>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60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保留普通床位另计价</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16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特殊防护病房床位费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指核素内照射治疗病房等</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17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门/急诊留观床位费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符合病房条件和管理标准的门/急诊观察床，按病房有关标准计价。床位费以日计算，不足半日按半日计。</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18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11090000601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干部病房（套间）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b w:val="0"/>
                <w:bCs w:val="0"/>
                <w:color w:val="000000"/>
                <w:kern w:val="0"/>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19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11090000602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干部病房（单人间）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b/>
                <w:bCs/>
                <w:i w:val="0"/>
                <w:iCs w:val="0"/>
                <w:color w:val="auto"/>
                <w:kern w:val="0"/>
                <w:sz w:val="20"/>
                <w:szCs w:val="20"/>
                <w:u w:val="none"/>
                <w:lang w:val="en-US" w:eastAsia="zh-CN" w:bidi="ar"/>
              </w:rPr>
              <w:t>20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11090000603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干部病房（双人间）</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i w:val="0"/>
                <w:iCs w:val="0"/>
                <w:color w:val="000000"/>
                <w:kern w:val="0"/>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i w:val="0"/>
                <w:iCs w:val="0"/>
                <w:color w:val="000000"/>
                <w:kern w:val="0"/>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i w:val="0"/>
                <w:iCs w:val="0"/>
                <w:color w:val="000000"/>
                <w:kern w:val="0"/>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b/>
                <w:bCs/>
                <w:i w:val="0"/>
                <w:iCs w:val="0"/>
                <w:color w:val="auto"/>
                <w:kern w:val="0"/>
                <w:sz w:val="20"/>
                <w:szCs w:val="20"/>
                <w:u w:val="none"/>
                <w:lang w:val="en-US" w:eastAsia="zh-CN" w:bidi="ar"/>
              </w:rPr>
              <w:t>21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1110000101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院际会诊专家会诊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外埠会诊加收1倍。急诊会诊加收50元。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22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1110000102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院际会诊主治医师</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外埠会诊加收1倍。急诊会诊加收20元。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23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1110000201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院内会诊专家会诊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6岁以下儿童加收30%。</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24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1110000202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院内会诊主治医师及以下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25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130100001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婴幼儿健康体检</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b w:val="0"/>
                <w:bCs w:val="0"/>
                <w:kern w:val="2"/>
                <w:sz w:val="20"/>
                <w:szCs w:val="20"/>
                <w:lang w:val="en-US" w:eastAsia="zh-CN"/>
              </w:rPr>
            </w:pPr>
            <w:r>
              <w:rPr>
                <w:rFonts w:hint="eastAsia" w:ascii="宋体" w:hAnsi="宋体" w:eastAsia="宋体" w:cs="宋体"/>
                <w:b/>
                <w:bCs/>
                <w:i w:val="0"/>
                <w:iCs w:val="0"/>
                <w:color w:val="auto"/>
                <w:kern w:val="0"/>
                <w:sz w:val="20"/>
                <w:szCs w:val="20"/>
                <w:u w:val="none"/>
                <w:lang w:val="en-US" w:eastAsia="zh-CN" w:bidi="ar"/>
              </w:rPr>
              <w:t>26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130200001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儿童龋齿预防保健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含4岁至学龄前儿童按齿科常规检查。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130300001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家庭巡诊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含了解服务对象健康状况、指导疾病治疗和康复、进行健康咨询。</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交通费</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130400001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围产保健访视</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含出生至满月访视，对围产期保健进行指导，如母乳喂养、产后保健等。</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交通费</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130500001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传染病访视</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指导家庭预防和疾病治疗、恢复。</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交通费</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130600001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家庭病床建床费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含建立病历和病人全面检查。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130600002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家庭病床巡诊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含定期查房和病情记录。</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交通费</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130700001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出诊费：副主任医师及以上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130700002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出诊费：主治医师及以下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130800001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出诊费：建立健康档案</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130900001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健康咨询</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指个体健康咨询。</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130900002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疾病健康教育</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left"/>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指群体健康教育。</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210400001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院外影像学会诊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医疗机构根据患者的病情需要或患者要求，邀请其他医疗机构影像专家现场协助完善对X线片、MRI片、CT片的诊断。</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适用于X线、CT以及MRI检查。指副主任医师以上专家会诊。</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210400003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影像远程会诊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医疗机构根据患者的病情需要或患者要求，将影像学检查的部分疑难复杂病例运用通讯、计算机及网络技术发给其他医疗机构，由受邀方的影像专家进行的影像诊断并出具会诊报告。</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适用于X线、CT以及MRI检查类型。根据“谁主张谁支付”的原则决定支付方，患者主张由患者支付，医院主张由医院支付。</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210400004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同步远程交互式影像会诊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医疗机构根据患者的病情需要或患者要求，提供多次影像学检查数据以及相关临床资料，通过远程视频系统与受邀方影像专家交互式沟通，进行综合影像会诊服务。</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以半小时为一次，不足半小时按半小时收费。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220100001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A型超声检查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220100003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眼科A超</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单侧</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单脏器B超检查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每脏器</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每增加一个脏器加收5元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B超常规检查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同时检查两个部位以上的，第二部位起减半收费。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胸、腹水B超检查及穿刺定位</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不含活检。</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胃肠充盈造影B超检查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含胃、小肠及其附属结构。</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大肠灌肠造影B超检查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含大肠及其附属结构。</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输卵管超声造影</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含临床操作，含宫腔、双输卵管。</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一次性导管</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浅表组织器官B超检查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每增加一个部位，加收5元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220201008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床旁超声检查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术中超声检查参照执行</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220202001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经阴道B超检查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含子宫及双附件。</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辅助生殖患者减半收费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220202002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经直肠B超检查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含前列腺、精囊、直肠、尿道。</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220203001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胃充盈及排空功能检查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指造影法，含造影剂。</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220203002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小肠充盈及排空功能检查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指造影法，含造影剂。</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220203003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胆囊和胆道收缩功能检查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指造影法，含造影剂。</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220203004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胎儿生物物理相评分</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含呼吸运动、肌张力、胎动、羊水量、无刺激试验。</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220203005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膀胱残余尿量测定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220301001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彩色多普勒超声常规检查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膜腹后肿物加收50%；同时检查两个部位以上的，第二个部位起减半收费。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220301002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浅表器官彩色多普勒超声检查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同时检查两个部位以上的，第二个部位起减半收费。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颅内段血管彩色多普勒超声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球后全部血管彩色多普勒超声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颈部血管彩色多普勒超声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颈动、颈静脉、椎动脉分别参照执行。</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门静脉系彩色多普勒超声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腹部大血管彩色多普勒超声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四肢血管彩色多普勒超声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单肢</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增加一个肢体加收60元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双肾及肾血管彩色多普勒超声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左肾静脉“胡桃夹”综合征检查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药物血管功能试验</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指阳痿测定等。</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药物</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220302010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脏器声学造影</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包括肿瘤声学造影。</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造影剂</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220302011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腔内彩色多普勒超声检查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经阴道、经直肠分别参照执行。</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辅助生殖患者减半收费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200" w:firstLineChars="100"/>
              <w:jc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220400001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颅内多普勒血流图（TCD）</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220400002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四肢多普勒血流图</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单肢</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220400003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多普勒小儿血压检测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220500001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脏器灰阶立体成象</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每个脏器</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220500002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能量图血流立体成象</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每个部位</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普通心脏M型超声检查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指黑白超声仪检查，含常规基本波群。</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普通二维超声心动图</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指黑白超声仪检查，含心房、心室、心瓣膜、大动脉等超声检查。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含M型、二维</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床旁超声心动图</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含心房、心室、心瓣膜、大动脉等超声检查。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27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27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b w:val="0"/>
                <w:bCs w:val="0"/>
                <w:i w:val="0"/>
                <w:iCs w:val="0"/>
                <w:color w:val="auto"/>
                <w:kern w:val="2"/>
                <w:sz w:val="20"/>
                <w:szCs w:val="20"/>
                <w:u w:val="none"/>
                <w:lang w:val="en-US" w:eastAsia="zh-CN" w:bidi="ar-SA"/>
              </w:rPr>
              <w:t>27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心脏彩色多普勒超声</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含各心腔及大血管血流显像</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胎儿检查加收100元，三维加收90元；不能与“普通心脏M型超声检查、普通二维超声心动图”同时收取。</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常规经食管超声心动图</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含房、室、心瓣膜、大动脉结构及血流显像。</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右心声学造影</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指普通二维心脏超声检查，含心腔充盈状态、分流方向、分流量与返流量等检查。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负荷超声心动图</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指普通心脏超声检查，包括药物注射或运动试验器械；不含心电与血压监测。</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药物</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220600010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左心功能测定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指普通心脏超声检查或彩色多普勒超声检查；含心室舒张容量（EDV）、射血分数（EF）、短轴缩短率（FS）、每搏输出量（SV）、每分输出量（CO）等。</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单项测定每项10元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计算机三维重建技术（3DE）</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单幅图片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声学定量（AQ）</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彩色室壁动力（CK）</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组织多普勒显像（TDI）</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心内膜自动边缘检测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室壁运动分析</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220700007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心肌灌注超声检测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黑白热敏打印照片</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彩色打印照片</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黑白一次成象（波拉）照片</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彩色一次成象（波拉）照片</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超声多幅照相</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彩色胶片照相</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片</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超声检查实时录象</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含录象带</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220800008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超声计算机图文报告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含计算机图文处理、储存及图文报告。</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131碘-甲亢治疗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131碘-功能自主状甲状腺瘤治疗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131碘-甲状腺癌转移灶治疗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131碘-肿瘤抗体放免治疗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32磷-胶体腔内治疗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90钇-微球介入治疗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89锶-骨转移瘤治疗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153钐-EDTMP骨转移瘤治疗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188铼-HEDP骨转移瘤治疗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131碘-MIBG恶性肿瘤治疗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核素组织间介入治疗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核素血管内介入治疗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99锝（云克）治疗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放射性核素敷贴治疗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230600017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组织间粒子植入术</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包括放射性粒子植入术、化疗药物粒子植入术。</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放射性粒子、药物粒子、一次性植入针</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240100001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人工制定治疗计划（简单）</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含剂量计算。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240100002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人工制定治疗计划（复杂）</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含治疗计划与剂量计算。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240100003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计算机治疗计划系统（TPS）</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指二维TPS</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三维加收15元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240100004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特定计算机治疗计划系统</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包括加速器适型、伽玛刀、X刀之TPS，逆向调强TPS及优化。</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调强计划加收300元/疗程</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240100005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放射治疗的适时监控</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240200001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简易定位</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指使用非专用定位机之定位，包括X线机、B超或CT等。</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240200002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专用X线机模拟定位</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野次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每疗程收费不超过2野次。</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240200003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专用X线机复杂模拟定位</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指非共面4野以上之定位，包括CT等模拟定位。</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野次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每疗程收费不超过2野次。</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深部X线照射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60钴外照射（固定照射）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60钴外照射（特殊照射）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旋转、弧形、楔形滤板等方法参照执行。</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直线加速器放疗（固定照射）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直线加速器放疗（特殊照射）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包括旋转、门控、弧形、楔形滤板、多叶光栅等方法。</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直线加速器适型治疗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指非共面4野以上之放疗。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X刀治疗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含TPS以及分次治疗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每加一个靶点加收700元，最多不超过2800，以后每次1000元。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伽玛刀治疗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指颅内良性、恶性肿瘤和血管疾病的治疗。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7500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体部（头部）每加一次（或头部加一个靶点）加收800元，3次以上每加一个靶点加收300元。未获得卫生部配置规划许可的，不得收费。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不规则野大面积照射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半身照射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480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全身60钴照射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全身X线照射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指用于骨髓移植。</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全身电子线照射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指用于皮肤恶性淋巴瘤治疗。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每照摄野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术中放疗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240300015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适型调强放射治疗（IMRT）</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240400001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浅表部位后装治疗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240400002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腔内后装放疗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240400003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组织间插置放疗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240400004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手术置管放疗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420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420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240400005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皮肤贴敷后装放疗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240500001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合金模具设计及制作</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指电子束制模。</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适形制模加收100元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240500002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填充模具设计及制作</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240500003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补偿物设计及制作</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240500004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面模设计及制作</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面模材料</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240500005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体架</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头架参照执行。</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每疗程收费不超过720元。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240600001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低氧放疗耐力测定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311202001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新生儿暖箱</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保留病房床位另计价</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311502002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眼动检查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常温冬眠治疗监测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电休克治疗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多参数监护无抽搐电休克治疗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暴露疗法和半暴露疗法</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行为观察和治疗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冲动行为干预治疗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311503015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感觉统合治疗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311503016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工娱治疗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311503017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特殊工娱治疗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311503018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音乐治疗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311503019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暗示治疗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松驰治疗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漂浮治疗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听力整合及语言训练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心理咨询</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麻醉分析</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催眠治疗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森田疗法</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行为矫正治疗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firstLine="450" w:firstLine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311503029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厌恶治疗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311503030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脱瘾治疗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含药物、治疗、检查费用。</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疗程（14天）</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2850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2700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2250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2125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自愿或强迫治疗</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330100012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心肺复苏术</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开胸复苏和特殊气管插管术</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徒手平衡功能检查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仪器平衡功能评定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等速肌力测定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手功能评定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包括徒手和仪器。</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评定间隔时间不短于14天。</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疲劳度测定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步态分析检查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包括足底压力分析检查。</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口吃检查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利用问诊、会话、命名、描述、单词和句子朗读、回答问题等方法对患者进行检查、分析。人工报告。</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吞咽功能障碍评定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职业能力评定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法定就业年龄段且有就业意愿，经过PARQ医学筛查适合进行职业功能训练的患者。</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心功能康复评定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肺功能康复评定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tabs>
                <w:tab w:val="left" w:pos="376"/>
              </w:tabs>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340200019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人体残伤测定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运动疗法</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包括全身肌力训练、各关节活动度训练、徒手体操、器械训练、步态平衡功能训练、呼吸训练。</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限器质性病变导致的肌力、关节活动度和平衡功能障碍的患者。与偏瘫、脑瘫或截瘫肢体综合训练同时使用时只支付其中1项。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减重支持系统训练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20分钟/次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轮椅功能训练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电动起立床训练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平衡功能训练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189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手功能训练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徒手</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支具</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关节松动训练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包括小关节（指关节）、大关节。</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有氧训练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氧气</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文体训练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340200029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引导式教育训练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对智力和行为有障碍的患儿进行注意力、操作能力、模仿能力、依从行为、行为控制力、交往沟通能力康复训练。　</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等速肌力训练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采用等速肌力训练仪，选择不同训练肌群，选择不同的训练配件，将患者固定，选择训练速度，训练模式，设定训练量。</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作业疗法</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含日常生活动作训练</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限器质性病变导致的生活、工作能力障碍。</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职业功能训练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使用仪器或器械模拟对患者进行与职业功能状态相关的训练，含日常生活中与职业相关的各种运动技能和操作技能的训练。</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法定就业年龄段且有就业意愿，经过PARQ医学筛查适合进行职业功能训练的患者。</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口吃训练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利用直接训练方法和对家属的指导，帮助患者控制言语节律与速度、音量、语音、呼吸和呼吸气流的控制、韵律、说话态度等方面进行训练。</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限器质性病变导致的中、重度语言障碍。</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199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儿童听力障碍语言训练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利用乐器、听觉训练仪、图片、实物等对患儿的听觉能力和言语表达能力进行训练。</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6岁以下听力障碍儿童，由取得听觉口语师资格的人员开展，以个别化训练为主要方式。</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构音障碍训练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吞咽功能障碍训练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限中、重度功能障碍。</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认知知觉功能障碍训练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限器质性病变导致的认知知觉功能障碍。</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340200039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康复评定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含咨询</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有明确的功能障碍；评定由3名以上专业人员开展，至少包含两个评估项目；一个住院周期收费不超过三次；两次评定间隔时间不短于14天。</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340200040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偏瘫肢体综合训练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40分钟/次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与运动疗法同时使用时只支付其中1项。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340200041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脑瘫肢体综合训练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40分钟/次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限儿童。与运动疗法同时使用时只支付其中1项。</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340200042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截瘫肢体综合训练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40分钟/次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副主任医师门诊诊察费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主任医师门诊诊察费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知名专家门诊诊察费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指享受国务院津贴、省政府津贴、江淮名医和省学术带头人。每半日诊察不超过20人次。</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方便门诊诊察费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指单纯购药及慢性病病人定期检查等不需提供新的治疗方案的。</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互联网远程方便门诊诊察费参照执行。</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AAAA0006</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互联网（远程）诊察费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仿宋_GB2312" w:hAnsi="宋体" w:eastAsia="仿宋_GB2312" w:cs="仿宋_GB2312"/>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暂不区分医生职称</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互联网首诊（主治医师及以下）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AAAA0008</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互联网首诊（副主任医师）</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AAAA0009</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互联网首诊（主任医师）</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AAAB0001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急诊诊察费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AAAC0001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门/急诊留观诊察费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AAAD0001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住院诊察费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top"/>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6岁以下儿童加收30%。</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219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AAAG0001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普通门诊中医辨证论治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AAAG0002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副主任医师门诊中医辨证论治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AAAG0003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主任医师门诊中医辨证论治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AAAG0004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国医大师门诊中医辨证论治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复诊200</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AAAG0005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知名专家门诊中医辨证论治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指由知名专家在中医专家门诊提供的诊疗服务。通过望闻问切收集中医四诊信息，依据中医理论进行辨证，分析病因、病位、病性及病机转化，作出证候诊断，提出治疗方案。含挂号费。</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指享受国务院津贴、省政府津贴</w:t>
            </w:r>
            <w:r>
              <w:rPr>
                <w:rFonts w:hint="eastAsia" w:ascii="宋体" w:hAnsi="宋体" w:eastAsia="宋体" w:cs="宋体"/>
                <w:i w:val="0"/>
                <w:iCs w:val="0"/>
                <w:color w:val="auto"/>
                <w:spacing w:val="-6"/>
                <w:kern w:val="0"/>
                <w:sz w:val="20"/>
                <w:szCs w:val="20"/>
                <w:u w:val="none"/>
                <w:lang w:val="en-US" w:eastAsia="zh-CN" w:bidi="ar"/>
              </w:rPr>
              <w:t>和江淮名医、省学术带头人、省名中医和省国医名师。每半日诊察不超过20人次。其中省国医</w:t>
            </w:r>
            <w:r>
              <w:rPr>
                <w:rFonts w:hint="eastAsia" w:ascii="宋体" w:hAnsi="宋体" w:eastAsia="宋体" w:cs="宋体"/>
                <w:i w:val="0"/>
                <w:iCs w:val="0"/>
                <w:color w:val="auto"/>
                <w:kern w:val="0"/>
                <w:sz w:val="20"/>
                <w:szCs w:val="20"/>
                <w:u w:val="none"/>
                <w:lang w:val="en-US" w:eastAsia="zh-CN" w:bidi="ar"/>
              </w:rPr>
              <w:t>名师每人次100元。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AAAH0001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急诊中医辨证论治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19</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AAAJ0001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门/急诊留观中医辨证论治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18</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bCs/>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AAAK0001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住院中医辨证论治</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6岁以下儿童加收30%。</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AAAL0001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一般诊疗费（乡镇卫生院和社区卫生服务中心）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含挂号费、诊查费、注射费（含静脉输液费，不含药品费）以及药事服务成本。</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使用智医助理11元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AAAL0002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一般诊</w:t>
            </w:r>
            <w:r>
              <w:rPr>
                <w:rFonts w:hint="eastAsia" w:ascii="宋体" w:hAnsi="宋体" w:eastAsia="宋体" w:cs="宋体"/>
                <w:i w:val="0"/>
                <w:iCs w:val="0"/>
                <w:color w:val="auto"/>
                <w:spacing w:val="-6"/>
                <w:kern w:val="0"/>
                <w:sz w:val="20"/>
                <w:szCs w:val="20"/>
                <w:u w:val="none"/>
                <w:lang w:val="en-US" w:eastAsia="zh-CN" w:bidi="ar"/>
              </w:rPr>
              <w:t>疗费（一体化管理的村卫生室和社区卫生服务站）</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含挂号费、诊查费、注射费（含静脉输液费，不含药品费）以及药事服务成本。</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kern w:val="2"/>
                <w:sz w:val="20"/>
                <w:szCs w:val="20"/>
                <w:u w:val="none"/>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bCs/>
                <w:kern w:val="2"/>
                <w:sz w:val="20"/>
                <w:szCs w:val="20"/>
              </w:rPr>
            </w:pPr>
            <w:r>
              <w:rPr>
                <w:rFonts w:hint="eastAsia" w:ascii="宋体" w:hAnsi="宋体" w:eastAsia="宋体" w:cs="宋体"/>
                <w:i w:val="0"/>
                <w:iCs w:val="0"/>
                <w:color w:val="auto"/>
                <w:kern w:val="0"/>
                <w:sz w:val="20"/>
                <w:szCs w:val="20"/>
                <w:u w:val="none"/>
                <w:lang w:val="en-US" w:eastAsia="zh-CN" w:bidi="ar"/>
              </w:rPr>
              <w:t>使用智医助理7元</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229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AABA0001-A</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AABA0001-B</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AABA0002-A</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三人间床位费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AABA0002-B</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三人间床位费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AABA0003-A</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AABA0003-B</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AABA0004-A</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AABA0004-B</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单人间床位费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AABE0001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新生儿床位费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指新生儿或母婴同室新生儿的床位。有配奶间，洗浴间及相应设施。含医用垃圾、污水处理。</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12.75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AABF0001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门/急诊留观床位费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二级医疗机构床位费按不高于最高限价90%核定。</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AADD0001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同步远程病理会诊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通过网络传输的实时医院之间的病理会诊。不含图像的采集、数字化转换。</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AADD0002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非同步远程病理会诊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通过网络传输的非实时医院之间的病理会诊。不含图像的采集、数字化转换。</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280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252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238</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AADG0001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远程会诊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指临床各专业会诊。开通网络计算机系统，通过远程视频系统提供医学资料，对患者的病情进行研讨的多学科、多专家的会诊诊治。</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AADH0001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门诊多学科联合会诊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超过3名专家，每增加一名专家加收30%；住院患者多学科联合会诊参照执行。</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AADN0001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远程中医辨证论治会诊</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540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510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AAED0001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营养干预</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32</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31</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营养干预范围限定为不能经口进食的患者，主要是造瘘、鼻饲的患者。</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AAFA0001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药学门诊诊察费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限三级公立医疗机构试行。</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ABMA0001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危重病人抢救</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360</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340</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ABMC0001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新生儿辐射抢救治疗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使用辐射抢救台对新生儿进行治疗。预热，设置箱温，放置体温探头，抢救治疗。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2.7</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不得再加收儿童费用</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ABNA0001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院前危急重症抢救</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43</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249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ACBC002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精神科监护</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限精神病专科医院封闭管理病区。</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AZCA0001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上门服务费</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根据患者需求，医疗机构派出医师、护师、药师或技师等专业人员，前往患者指定地点为其提供合法合规的医疗服务。含医疗机构派出的专业人员交通成本、人力资源消耗。</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次·人</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基层医疗机构执行政府指导价，县级及以上公立医疗机构执行市场调节价。</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EDCBJ001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经颅多普勒超声发泡试验</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EDCBJ003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经颅多普勒卧立位试验</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EDCBJ004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经颅多普勒超声动脉压迫试验</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EDCBJ005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经颅多普勒超声动脉栓子监测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EDCDC002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甲状腺超声增强检测</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EDCUE005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早孕期胎儿结构筛查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171</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EDCUE007</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晚孕期常规产前超声检查（产前Ⅱ级超声检查）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每胎</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160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EDCZZ003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超声弹性成像检查</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26</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23</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22</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259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EDDL9001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多普勒踝臂指数测定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36</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34</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EDEZX003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右心室超声量化分析</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EDGLG001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彩色脉搏波速度测量（PWV）</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EDGWY001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实时剪切波组织弹性成像（SWE）</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FKA05704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心电监测远程传输</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日</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KAZ38711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声光振失眠综合治疗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KBC4K701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经颅磁刺激治疗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根据病情及治疗目的进行定位并放置治疗线圈，选择适宜治疗参数包括频率、强度、串时程、串间歇、总脉冲数等进行治疗，观察靶向效应器反应。治疗后观察治疗反应，记录治疗单。</w:t>
            </w: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KUN39702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新生儿多功能暖箱治疗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小时</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9.5</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LABZX002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二维剂量验证</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LABZX003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三维剂量验证</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269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LADZX014</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质子放疗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同一适应症每疗程第二次及以后放疗按比例减收，每疗程总费用实行封顶。</w:t>
            </w: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270</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LADZY005</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螺旋断层放射治疗（TomoTherapy）</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4983</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4484</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4484</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4235</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271</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LEFXA002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下肢机器人康复</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272</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MABX8001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肌张力评定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273</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MAZRG001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膀胱容量测定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r>
              <w:rPr>
                <w:rFonts w:hint="eastAsia" w:ascii="宋体" w:hAnsi="宋体" w:eastAsia="宋体" w:cs="宋体"/>
                <w:i w:val="0"/>
                <w:iCs w:val="0"/>
                <w:color w:val="auto"/>
                <w:kern w:val="0"/>
                <w:sz w:val="20"/>
                <w:szCs w:val="20"/>
                <w:u w:val="none"/>
                <w:lang w:val="en-US" w:eastAsia="zh-CN" w:bidi="ar"/>
              </w:rPr>
              <w:t>三腔导尿管</w:t>
            </w: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274</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MAZRG002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仪器法膀胱容量测定</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275</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MBBZX020</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虚拟现实认知行为治疗</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276</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MBZRG001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膀胱功能训练</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277</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PCBA0101</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普通辨证施膳指导</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278</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PCBA0102</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专家辨证施膳指导</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宋体" w:hAnsi="宋体" w:eastAsia="宋体" w:cs="宋体"/>
                <w:b w:val="0"/>
                <w:bCs w:val="0"/>
                <w:kern w:val="2"/>
                <w:sz w:val="20"/>
                <w:szCs w:val="20"/>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exact"/>
          <w:jc w:val="center"/>
        </w:trPr>
        <w:tc>
          <w:tcPr>
            <w:tcW w:w="53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279</w:t>
            </w:r>
          </w:p>
        </w:tc>
        <w:tc>
          <w:tcPr>
            <w:tcW w:w="1316"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PCBA0103</w:t>
            </w:r>
          </w:p>
        </w:tc>
        <w:tc>
          <w:tcPr>
            <w:tcW w:w="25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高级专家辨证施膳指导</w:t>
            </w:r>
          </w:p>
        </w:tc>
        <w:tc>
          <w:tcPr>
            <w:tcW w:w="31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02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64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次</w:t>
            </w:r>
          </w:p>
        </w:tc>
        <w:tc>
          <w:tcPr>
            <w:tcW w:w="840"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5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76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835"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w:t>
            </w:r>
          </w:p>
        </w:tc>
        <w:tc>
          <w:tcPr>
            <w:tcW w:w="2771"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both"/>
              <w:rPr>
                <w:rFonts w:hint="eastAsia" w:ascii="宋体" w:hAnsi="宋体" w:eastAsia="宋体" w:cs="宋体"/>
                <w:b w:val="0"/>
                <w:bCs w:val="0"/>
                <w:kern w:val="2"/>
                <w:sz w:val="20"/>
                <w:szCs w:val="20"/>
              </w:rPr>
            </w:pPr>
          </w:p>
        </w:tc>
        <w:tc>
          <w:tcPr>
            <w:tcW w:w="658"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3</w:t>
            </w:r>
          </w:p>
        </w:tc>
      </w:tr>
    </w:tbl>
    <w:p>
      <w:pPr>
        <w:jc w:val="left"/>
        <w:rPr>
          <w:rFonts w:hint="default" w:ascii="Times New Roman" w:hAnsi="Times New Roman" w:eastAsia="黑体" w:cs="Times New Roman"/>
          <w:b w:val="0"/>
          <w:bCs w:val="0"/>
          <w:color w:val="auto"/>
          <w:sz w:val="32"/>
          <w:szCs w:val="32"/>
          <w:lang w:val="en-US" w:eastAsia="zh-CN"/>
        </w:rPr>
      </w:pPr>
      <w:r>
        <w:rPr>
          <w:rFonts w:hint="default" w:ascii="Times New Roman" w:hAnsi="Times New Roman" w:eastAsia="黑体" w:cs="Times New Roman"/>
          <w:b w:val="0"/>
          <w:bCs w:val="0"/>
          <w:color w:val="auto"/>
          <w:sz w:val="32"/>
          <w:szCs w:val="32"/>
          <w:lang w:val="en-US" w:eastAsia="zh-CN"/>
        </w:rPr>
        <w:t>附件7</w:t>
      </w:r>
    </w:p>
    <w:p>
      <w:pPr>
        <w:keepNext w:val="0"/>
        <w:keepLines w:val="0"/>
        <w:pageBreakBefore w:val="0"/>
        <w:widowControl w:val="0"/>
        <w:kinsoku/>
        <w:wordWrap/>
        <w:overflowPunct/>
        <w:topLinePunct w:val="0"/>
        <w:autoSpaceDE/>
        <w:autoSpaceDN/>
        <w:bidi w:val="0"/>
        <w:adjustRightInd/>
        <w:snapToGrid w:val="0"/>
        <w:spacing w:before="118" w:beforeLines="20" w:after="118" w:afterLines="20"/>
        <w:ind w:firstLine="880" w:firstLineChars="200"/>
        <w:jc w:val="center"/>
        <w:textAlignment w:val="auto"/>
        <w:rPr>
          <w:rFonts w:hint="eastAsia" w:ascii="方正小标宋_GBK" w:hAnsi="方正小标宋_GBK" w:eastAsia="方正小标宋_GBK" w:cs="方正小标宋_GBK"/>
          <w:b w:val="0"/>
          <w:bCs w:val="0"/>
          <w:color w:val="auto"/>
          <w:sz w:val="44"/>
          <w:szCs w:val="44"/>
          <w:lang w:val="en-US" w:eastAsia="zh-CN"/>
        </w:rPr>
      </w:pPr>
      <w:r>
        <w:rPr>
          <w:rFonts w:hint="eastAsia" w:ascii="方正小标宋_GBK" w:hAnsi="方正小标宋_GBK" w:eastAsia="方正小标宋_GBK" w:cs="方正小标宋_GBK"/>
          <w:b w:val="0"/>
          <w:bCs w:val="0"/>
          <w:color w:val="auto"/>
          <w:sz w:val="44"/>
          <w:szCs w:val="44"/>
          <w:lang w:val="en-US" w:eastAsia="zh-CN"/>
        </w:rPr>
        <w:t>整合后医疗服务价格项目映射关系表</w:t>
      </w:r>
    </w:p>
    <w:tbl>
      <w:tblPr>
        <w:tblStyle w:val="9"/>
        <w:tblW w:w="14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875"/>
        <w:gridCol w:w="2644"/>
        <w:gridCol w:w="3462"/>
        <w:gridCol w:w="3122"/>
        <w:gridCol w:w="2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序号</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项目代码</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项目名称</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价格构成</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同整合后项目收取项目名称</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Theme="minorEastAsia" w:hAnsiTheme="minorEastAsia" w:eastAsiaTheme="minorEastAsia" w:cstheme="minorEastAsia"/>
                <w:b/>
                <w:bCs/>
                <w:i w:val="0"/>
                <w:iCs w:val="0"/>
                <w:color w:val="auto"/>
                <w:kern w:val="0"/>
                <w:sz w:val="20"/>
                <w:szCs w:val="20"/>
                <w:u w:val="none"/>
                <w:lang w:val="en-US" w:eastAsia="zh-CN" w:bidi="ar"/>
              </w:rPr>
              <w:t>纳入价格构成项目名称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一般医疗服务</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011101000010000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left"/>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一般诊疗费</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所定价格涵盖挂号、诊查、注射（不含药品费）以及药事服务成本等所需的人力资源和基本物质资源消耗。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一般诊疗费（乡镇卫生院和社区卫生服务中心）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一般诊疗费（一体化管理的村卫生室和社区卫生服务站）</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2</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left"/>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门诊诊查费（普通门诊）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首诊建档、信息核实、询问病情、采集病史、查体、一般物理检查、阅读分析检查检验结果、评估病‘’情、诊断、制定诊疗方案、向患者或家属告知、开具处方和治疗单、开具检查检验单、病历书写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普通门诊诊察费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default"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营养状况评估与咨询、营养干预、围产期营养健康咨询指导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011102020010001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门诊诊查费（普通门诊）-副主任医师（加收）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6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副主任医师门诊诊察费</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011102020010002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门诊诊查费（普通门诊）-主任医师（加收）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6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主任医师门诊诊察费</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011102020010003</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门诊诊查费（普通门诊）-知名专家（加收）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6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知名专家门诊诊察费</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3</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门诊诊查费（中医辨证论治）</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6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首诊建档、信息核实、询问病情、采集病史、望闻问切、查体、一般物理检查、阅读分析检查检验结果、评估病情、中医辨证分析、诊断、制定诊疗方案、向患者或家属告知、开具处方、开具检查检验单、病历书写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普通门诊中医辨证论治</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普通辨证施膳指导、经络穴位诊断、经络穴位分析、耳穴诊断、脉图诊断、舌象图诊断、中医体质辨识与调养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011102020020001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门诊诊查费（中医辨证论治）-副主任医师（加收）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副主任医师门诊中医辨证论治</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专家辨证施膳指导、副主任医师辨证施膳指导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011102020020002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门诊诊查费（中医辨证论治）-主任医师（加收）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主任医师门诊中医辨证论治</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高级专家辨证施膳指导、主任医师辨证施膳指导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011102020020003</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门诊诊查费（中医辨证论治）-知名专家（加收）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知名专家门诊中医辨证论治</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4</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门诊诊查费（药学门诊）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所定价格涵盖核实信息、药学咨询、评估用药情况、开展药学指导、制定用药方案、干预或提出药物重整建议、建立药历等所需的人力资源和基本物质资源消耗。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药学门诊诊察费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药师门诊诊察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011102020030001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门诊诊查费（药学门诊）-副主任（中）药师（加收）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011102020030002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门诊诊查费（药学门诊）-主任（中）药师（加收）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5</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011102020040000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门诊诊查费（护理门诊）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所定价格涵盖核实信息，护理服务、护理咨询、护理查体评估、护理指导及制定护理方案、护理记录等所需的人力资源和基本物质资源消耗。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护理门诊诊察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6</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011102020050000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门诊诊查费（便民门诊）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所定价格涵盖信息核实、开单等所需的人力资源和基本物质资源消耗。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方便门诊诊察费</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7</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011102020060000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急诊诊查费（普通）</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急诊建档、信息核实、询问病情、采集病史、查体、一般物理检查、阅读分析检查检验结果、评估病情、诊断、制定诊疗方案、及时向患者或家属告知、开具处方和治疗单、开具检查检验单、病历书写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急诊诊察费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急诊中医辨证论治</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8</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011102020070000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急诊诊查费（留观）</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留观建档、巡视患者、密切观察患者病情及生命体征变化、病史采集、查体、一般物理检查、阅读分析检查检验结果、评估病情、诊断、制定诊疗方案、开立医嘱、病历书写、病情告知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门/急诊留观诊察费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门/急诊留观中医辨证论治</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011102020070001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急诊诊查费（留观）-急诊抢救室（加收）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所定价格涵盖信息核实、开单等所需的人力资源和基本物质资源消耗。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9</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011102030010000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住院诊查费（普通）</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住院建档、查房、观察患者病情及生命体征变化、病史采集、查体、一般物理检查、阅读分析检查检验结果、评估病情、诊断、制定诊疗方案、病历书写、开立医嘱、病情告知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住院诊察费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住院中医辨证论治</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辨证施膳指导、经络穴位诊断、经络穴位分析、耳穴诊断、脉图诊断、舌象图诊断、中医体质辨识与调养、营养干预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10</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011102030020000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住院诊查费（临床药学）</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所定价格涵盖参与住院巡诊、协同制定个体化药物治疗方案、疗效观察、药物不良反应监测、安全用药指导、干预或提出药物重整等建议、建立药历等所需的人力资源和基本物质资源消耗。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住院患者个性化用药监护</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处方/医嘱药品调剂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11</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011102040010000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互联网诊查费（首诊）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所定价格涵盖信息核实、在线问诊、记录分析、制定诊疗方案或建议，必要时在线开具处方等所需的人力资源和基本物质资源消耗。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互联网首诊（主治医师及以下）</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普通医师互联网诊察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011102040010001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互联网诊查费（首诊）-副主任医师（加收）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互联网首诊（副主任医师）</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副主任医师互联网诊察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011102040010002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互联网诊查费（首诊）-正主任医师（加收）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互联网首诊（主任医师）</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主任医师互联网诊察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011102040010003</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互联网诊查费（首诊）-知名专家（加收）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12</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011102040020000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互联网诊查费（复诊）</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所定价格涵盖信息核实、在线问诊、查阅既往病历及检查报告、记录分析、制定诊疗方案或建议，必要时在线开具处方等所需的人力资源和基本物质资源消耗。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互联网（远程）诊察费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互联网复诊</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011103000010000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院前急救费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所定价格涵盖组织人员、观察、实施抢救、监测生命体征、记录、制定方案等所需的人力资源和基本物质资源消耗。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院前危急重症抢救</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011104000010000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院内抢救费（常规）</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所定价格涵盖组织人员、观察、实施抢救、记录、制定方案等所需的人力资源和基本物质资源消耗。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危重病人抢救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社区抢救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新生儿辐射抢救治疗</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011104000020000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院内抢救费（复杂）</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所定价格涵盖组织人员、观察、实施抢救、记录、制定方案等所需的人力资源和基本物质资源消耗。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危重病人抢救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社区抢救</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新生儿辐射抢救治疗</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011104000030000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心肺复苏术</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所定价格涵盖组织人员、观察、实施心肺复苏等所需的人力资源和基本物质资源消耗。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心肺复苏术</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床位费（单人间）</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所定价格涵盖床单位必备设施，包括但不限于腕带、病人服装、文档资料及管理、床单位设备及布草、独立卫浴、能源消耗、医疗垃圾及污水处理、病房控温设施及维护等所需的人力资源和基本物质资源消耗。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单人间床位费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2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普通病房床位费单人间</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床位费（二人间）</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所定价格涵盖床单位必备设施，包括但不限于腕带、病人服装、文档资料及管理、床单位设备及布草、独立卫生间、能源消耗、医疗垃圾及污水处理、病房控温设施及维护等所需的人力资源和基本物质资源消耗。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二人间床位费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普通病房床位费双人间</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011105000030000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床位费（三人间）</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所定价格涵盖床单位必备设施，包括但不限于腕带、病人服装、文档资料及管理、床单位设备及布草、独立卫生间、能源消耗、医疗垃圾及污水处理、病房控温设施及维护等所需的人力资源和基本物质资源消耗。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三人间床位费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普通病房床位费三人间</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011105000040000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床位费（多人间）</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多人间床位费</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普通病房床位费四人及以上</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011105000040100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床位费（多人间）-临时床位（扩展）</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011105000050000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床位费（急诊留观）</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所定价格涵盖床单位必备设施，包括但不限于文档资料及管理、能源消耗、医疗垃圾及污水处理、病房控温设施及维护等所需的人力资源和基本物质资源消耗。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门/急诊留观床位费</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011105000050001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床位费（急诊留观）-急诊抢救室（加收）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011105000060000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床位费（重症监护）</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病房控温设施、中心监护台，监护设备及其他监护抢救设施、空气净化设施、能源消耗、医疗垃圾及污水处理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监护病房床位费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重症监护病房床位</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011105000070000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床位费（层流洁净）</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医疗垃圾及污水处理、病房控温设施、全封闭式层流洁净间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百级层流洁净病房床位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千级层流洁净病房床位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万级层流洁净病房床位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百万级层流洁净病房床位</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011105000080000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床位费（特殊防护）</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病人服装、文档资料及管理、床单位设备及布草、能源消耗、放射性医疗垃圾及污水处理、病房控温设施、放射性物质防护设施及维护（含放射性污染职业监测或环境监测）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特殊防护病房床位费</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011105000090000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床位费（新生儿）</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所定价格涵盖床单位必备设施，包括但不限于腕带、服装、文档资料及管理、床单位设备及布草、能源消耗、医疗垃圾及污水处理、病房控温设施及维护等所需的人力资源和基本物质资源消耗。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新生儿床位费</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取暖费、空调降温费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011105000090001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床位费（新生儿）-母婴同室新生儿（减收）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011105000100000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新生儿暖箱费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所定价格涵盖新生儿床位相关设施、暖箱调节、加湿、皮肤温度监测、秤体重、兼备暖箱与辐射台功能、定期清洁消毒、处理用物等所需的人力资源和基本物质资源消耗。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新生儿暖箱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新生儿多功能暖箱治疗</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011105000110000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家庭病床建床费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所定价格涵盖医疗机构完成家庭病床建床建档（含建立病历）的人力资源和基本物质资源消耗。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家庭病床建床费</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多学科诊疗费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综合评估、讨论分析病情、诊断、制定综合诊疗方案、开具处方医嘱（治疗单、检查检验单）、病历书写、病情告知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门诊多学科联合会诊</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住院多学科联合会诊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多学科门诊中医辨证论治会诊</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所定价格涵盖病史采集、查体、一般物理检查、阅读分析检查检验结果、病情分析、提供诊疗方案、开具处方医嘱（治疗单、检查检验单）等所需的人力资源和基本物质资源消耗。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院内会诊主治医师及以下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院内中医辨证论治会诊</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会诊费（院内）-副主任医师（加收）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011106000020002</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会诊费（院内）-正主任医师（加收）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所定价格涵盖病史采集、查体、一般物理检查、阅读分析检查检验结果、病情分析、提供诊疗方案等所需的人力资源和基本物质资源消耗。（不含通勤、住宿等非医疗成本）</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院际会诊主治医师</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院际中医辨证论治会诊</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院际病理诊断、院际影像诊断、院外影像学会诊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会诊费（院外）-副主任医师（加收）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011106000030002</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会诊费（院外）-正主任医师（加收）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011106000040000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会诊费（远程会诊）</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通过互联网远程医疗网络系统搭建、维护、邀约、应邀、可视视频实时同步交互、资料上传、问诊、阅读分析检查检验结果、在线讨论病情、提供诊疗方案、出具诊疗意见报告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远程会诊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远程中医辨证论治会诊</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远程病理诊断、远程病理会诊、远程影像诊断、影像远程会诊、远程心电诊断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011107000010000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上门服务费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所定价格涵盖医疗机构派出医务人员的交通成本、人力资源和基本物质资源消耗。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011108000010000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远程监测费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所定价格涵盖信息核实、检查设备功能、安置远程监测设备、指导使用、程控打开远程监测设备、数据信息采集、分析判断、结果反馈、提供建议，指导随访等所需的人力资源和基本物质资源消耗。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心电监测远程传输</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远程心电监测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远程起搏器监测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远程除颤器监测</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安宁疗护费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所定价格涵盖患者病情评估、诊查、分级护理、各类评估工具使用、心理及精神疏导、情绪安抚、沟通陪伴、临终关怀、个性化支持等所需的人力资源和基本物质资源消耗。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救护车转运费</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所定价格涵盖含救护车交通往返相关管理费、折旧费、消毒费、油耗、司机劳务等所需的人力资源和基本物质资源消耗。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救护车费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救护车使用</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011109000020001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救护车转运费-高层人力转运加收（加收）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011109000030000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航空医疗转运</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所定价格涵盖航空器交通往返相关管理费、折旧费、消毒费、油耗、司机劳务等所需的人力资源和基本物质资源消耗。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firstLine="401" w:firstLineChars="200"/>
              <w:jc w:val="center"/>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2302</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firstLine="401" w:firstLineChars="20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超声检查</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012302010010000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A型超声检查</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所定价格涵盖设备调试、超声检查、数据分析、数据存储、出具诊断结果（含图文报告）等所需的人力资源和基本物质资源消耗。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A型超声检查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眼科A超</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012302020010000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B型超声检查</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单脏器B超检查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B超常规检查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胸、腹水B超检查及穿刺定位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浅表组织器官B超检查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膀胱残余尿量测定</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012302020010001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B型超声检查-床旁检查（加收）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床旁B超检查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术中B超检查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012302020010011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B型超声检查-腔内检查（加收）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经阴道B超检查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经直肠B超检查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012302020010021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B型超声检查-立体成像（加收）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012302020010031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B型超声检查-排卵监测（减收）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经阴道B超检查（辅助生殖患者）</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彩色多普勒超声常规检查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浅表器官彩色多普勒超声检查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超声计算机图文报告</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超声检查实时录象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彩色多普勒超声检查（常规）-床旁检查（加收）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床旁超声检查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术中彩色多普勒超声检查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012302030010011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彩色多普勒超声检查（常规）-腔内检查（加收）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腔内彩色多普勒超声检查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经阴道彩色多普勒超声检查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经直肠彩色多普勒超声检查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012302030010021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彩色多普勒超声检查（常规）-立体成像（加收）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计算机三维重建技术（3DE）</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超声图象计算机三维重建技术</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脏器灰阶立体成象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能量图血流立体成象</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经阴道子宫超声三维检查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乳腺超声扫查全容积成像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012302030010031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彩色多普勒超声检查（常规）-排卵监测（减收）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腔内彩色多普勒超声检查（辅助生殖患者）</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心脏彩色多普勒超声</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心脏彩色多普勒超声心动图检查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普通心脏M型超声检查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普通二维超声心动图</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全方位心脏M型超声检查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左心功能测定</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左心室收缩功能超声测定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左心室舒张功能超声测定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声学定量（AQ）</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彩色室壁动力（CK）</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组织多普勒显像（TDI）</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心内膜自动边缘检测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室壁运动分析</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二维超声斑点跟踪成像</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心脏同步性超声评估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经胸实时三维超声心动图检查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彩色多普勒超声检查（心脏）-床旁检查（加收）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床旁超声心动图</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术中超声心动图</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012302030020011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彩色多普勒超声检查（心脏）-心脏负荷超声检查（加收）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负荷超声心动图</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012302030021100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彩色多普勒超声检查（心脏）-彩色多普勒超声心动图检查（经食管）（扩展）</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常规经食管超声心动图</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经食管彩色多普勒超声心动图检查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经食管实时三维超声心动图检查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012302030030000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彩色多普勒超声检查（血管）</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颅内段血管彩色多普勒超声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球后全部血管彩色多普勒超声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颈动脉彩色多普勒超声</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颈静脉彩色多普勒超声</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 xml:space="preserve">椎动脉彩色多普勒超声 </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门静脉系彩色多普勒超声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腹部大血管彩色多普勒超声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四肢血管彩色多普勒超声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双肾及肾血管彩色多普勒超声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左肾静脉“胡桃夹”综合征检查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药物血管功能试验</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012302030040000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彩色多普勒超声检查（弹性成像）</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超声弹性成像检查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实时剪切波组织弹性成像（SWE）                                      肝脏硬度弹性超声检查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彩色多普勒超声常规检查（产科）                                                    胎儿彩色多普勒超声检查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胎儿三维超声成像检查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胎儿生物物理评分</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012302030051100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彩色多普勒超声检查（胎儿）-早孕期筛查（扩展）</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早孕期胎儿结构筛查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012302030052100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彩色多普勒超声检查（胎儿）-胎儿血流动力学检查（扩展）</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012302030060000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晚孕期常规产前超声检查（产前Ⅱ级超声检查）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胎儿彩色多普勒超声系统性结构畸形筛查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胎儿生物物理评分</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胎儿血流动力学检查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012302030060001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彩色多普勒超声检查（胎儿系统性筛查）-可疑胎儿产前诊断（加收）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胎儿异常超声筛查</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012302030070000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彩色多普勒超声检查（胎儿心脏）</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所定价格涵盖设备调试、体位摆放、超声检查、摄取图像、数据分析、数据存储、出具诊断结果（含图文报告）等步骤所需的人力资源、设备运转成本消耗与基本物质资源消耗。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心脏彩色多普勒超声（胎儿检查）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胎儿心脏超声心动图检查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胎儿血流动力学检查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超声造影（常规）</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胃肠充盈造影B超检查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大肠灌肠造影B超检查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输卵管超声造影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胃充盈及排空功能检查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小肠充盈及排空功能检查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胆囊和胆道收缩功能检查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脏器声学造影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右心声学造影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心肌灌注超声造影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子宫输卵管彩色多普勒超声造影检查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经宫腔超声造影检查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经胸右心超声造影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左心超声造影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胃/肠充盈造影超声检查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经宫腔输卵管B型超声造影检查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012302040020000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超声造影（血管）</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所定价格涵盖使用对比剂操作、设备调试、体位摆放、超声动态观察、获取数据、成像、数据分析、数据存储、出具诊断结果（含图文报告）等步骤所需的人力资源、设备运转成本消耗与基本物质资源消耗。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血管超声造影</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012302050010000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多普勒检查（周围血管）</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所定价格涵盖设备调试、超声测量、获取数据、数据分析、数据储存、出具诊断结果（含图文报告）等步骤所需的人力资源、设备运转成本消耗与基本物质资源消耗。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四肢多普勒血流图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多普勒小儿血压检测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多普勒踝臂指数测定</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超声计算机图文报告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b/>
                <w:bCs/>
                <w:i w:val="0"/>
                <w:iCs w:val="0"/>
                <w:color w:val="auto"/>
                <w:kern w:val="0"/>
                <w:sz w:val="20"/>
                <w:szCs w:val="20"/>
                <w:u w:val="none"/>
                <w:lang w:val="en-US" w:eastAsia="zh-CN" w:bidi="ar"/>
              </w:rPr>
              <w:t>13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012302050020000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颅内多普勒血流图（TCD）</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经颅多普勒超声检查</w:t>
            </w: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经颅多普勒卧立位试验</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经颅多普勒超声动脉压迫试验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012302050020011</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多普勒检查（颅内血管）-特殊方式检查（加收）</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经颅多普勒超声发泡试验</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经颅多普勒CO2吸入试验</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012302050021100</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多普勒检查（颅内血管）-栓子监测（扩展）</w:t>
            </w:r>
          </w:p>
        </w:tc>
        <w:tc>
          <w:tcPr>
            <w:tcW w:w="346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所定价格涵盖设备调试、体位摆放、超声检查、获取数据、数据分析、数据存储、出具诊断结果（含图文报告）等步骤所需的人力资源、设备运转成本消耗与基本物质资源消耗。</w:t>
            </w:r>
          </w:p>
        </w:tc>
        <w:tc>
          <w:tcPr>
            <w:tcW w:w="3122"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kern w:val="2"/>
                <w:sz w:val="20"/>
                <w:szCs w:val="20"/>
                <w:vertAlign w:val="baseline"/>
                <w:lang w:val="en-US" w:eastAsia="zh-CN" w:bidi="ar-SA"/>
              </w:rPr>
            </w:pPr>
            <w:r>
              <w:rPr>
                <w:rFonts w:hint="eastAsia" w:ascii="宋体" w:hAnsi="宋体" w:eastAsia="宋体" w:cs="宋体"/>
                <w:i w:val="0"/>
                <w:iCs w:val="0"/>
                <w:color w:val="auto"/>
                <w:kern w:val="0"/>
                <w:sz w:val="20"/>
                <w:szCs w:val="20"/>
                <w:u w:val="none"/>
                <w:lang w:val="en-US" w:eastAsia="zh-CN" w:bidi="ar"/>
              </w:rPr>
              <w:t>经颅多普勒超声动脉栓子监测</w:t>
            </w: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kern w:val="2"/>
                <w:sz w:val="20"/>
                <w:szCs w:val="20"/>
                <w:vertAlign w:val="baseline"/>
                <w:lang w:val="en-US" w:eastAsia="zh-CN" w:bidi="ar-SA"/>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firstLine="401" w:firstLineChars="200"/>
              <w:jc w:val="center"/>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3115</w:t>
            </w:r>
          </w:p>
        </w:tc>
        <w:tc>
          <w:tcPr>
            <w:tcW w:w="2644"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精神心理</w:t>
            </w:r>
          </w:p>
        </w:tc>
        <w:tc>
          <w:tcPr>
            <w:tcW w:w="346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3122"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c>
          <w:tcPr>
            <w:tcW w:w="2937" w:type="dxa"/>
            <w:shd w:val="clear" w:color="auto" w:fill="auto"/>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kern w:val="2"/>
                <w:sz w:val="20"/>
                <w:szCs w:val="20"/>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1</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013115000010000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心理治疗（个体）</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660" w:right="0" w:hanging="600" w:hangingChars="30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660" w:right="0" w:hanging="600" w:hangingChars="30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中医心理治疗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660" w:right="0" w:hanging="600" w:hangingChars="30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个体心理治疗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音乐治疗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暗示治疗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松驰治疗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漂浮治疗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麻醉分析</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催眠治疗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森田疗法</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厌恶治疗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音乐心理治疗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神经学音乐治疗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中医五音治疗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放松治疗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2</w:t>
            </w:r>
          </w:p>
        </w:tc>
        <w:tc>
          <w:tcPr>
            <w:tcW w:w="1875"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013115000020000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心理治疗（家庭）</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家庭心理治疗</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心理治疗（团体）</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所定价格涵盖场所设置、方案制定、沟通治疗等步骤所需的人力资源、设备成本和基本物质资源消耗。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团体心理治疗</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013115000040000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心理咨询</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所定价格涵盖场所设置、方案制定、沟通咨询等步骤所需的人力资源和基本物质资源消耗。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心理咨询</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013115000050000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电休克治疗（ECT）</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所定价格涵盖躯体及精神状况评估、肢体及牙齿保护、电极安放、电刺激、生命体征及意识状态观察、治疗记录等步骤所需的人力资源、设备成本和基本物质资源消耗。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220" w:right="0" w:hanging="200" w:hangingChars="10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电休克治疗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220" w:right="0" w:hanging="200" w:hangingChars="10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多参数监护无抽搐电休克治疗</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013115000060000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精神康复治疗（个人）</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常温冬眠治疗监测</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暴露疗法和半暴露疗法</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行为观察和治疗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冲动行为干预治疗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工娱治疗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特殊工娱治疗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行为矫正治疗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厌恶治疗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常温冬眠治疗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脱瘾治疗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进食障碍治疗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精神障碍作业疗法训练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013115000070000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精神康复治疗（家庭）</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013115000080000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精神康复治疗（团体）</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所定价格涵盖能力评估、计划制定、技能训练、行为干预等步骤所需的人力资源、设备成本和基本物质资源消耗。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工娱治疗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特殊工娱治疗</w:t>
            </w:r>
          </w:p>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r>
              <w:rPr>
                <w:rFonts w:hint="eastAsia" w:asciiTheme="minorEastAsia" w:hAnsiTheme="minorEastAsia" w:eastAsiaTheme="minorEastAsia" w:cstheme="minorEastAsia"/>
                <w:color w:val="auto"/>
                <w:sz w:val="20"/>
                <w:szCs w:val="20"/>
                <w:vertAlign w:val="baseline"/>
              </w:rPr>
              <w:t>儿童精神康复训练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013115000090000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精神科监护</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所定价格涵盖对精神病患者进行生命体征、认知、情感、意志行为等方面的监护以及采取预防意外事件发生措施等步骤所需的人力资源、设备成本和基本物质资源消耗。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精神科监护</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default" w:asciiTheme="minorEastAsia" w:hAnsiTheme="minorEastAsia" w:eastAsiaTheme="minorEastAsia" w:cstheme="minorEastAsia"/>
                <w:b/>
                <w:bCs/>
                <w:color w:val="auto"/>
                <w:sz w:val="20"/>
                <w:szCs w:val="20"/>
                <w:vertAlign w:val="baseline"/>
                <w:lang w:val="en-US" w:eastAsia="zh-CN"/>
              </w:rPr>
            </w:pPr>
            <w:r>
              <w:rPr>
                <w:rFonts w:hint="eastAsia" w:asciiTheme="minorEastAsia" w:hAnsiTheme="minorEastAsia" w:eastAsiaTheme="minorEastAsia" w:cstheme="minorEastAsia"/>
                <w:b/>
                <w:bCs/>
                <w:color w:val="auto"/>
                <w:sz w:val="20"/>
                <w:szCs w:val="20"/>
                <w:vertAlign w:val="baseline"/>
                <w:lang w:val="en-US" w:eastAsia="zh-CN"/>
              </w:rPr>
              <w:t>10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012417000010000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眼动检查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所定价格涵盖设备准备、眼动轨迹记录、分析、得出结果等步骤所需的人力资源、设备成本和基本物质资源消耗。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眼动检查</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3401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放射治疗</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所定价格涵盖勾画靶区、给定处方剂量、制定放疗计划等过程中所需的人力资源、设备运转成本消耗与基本物耗。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人工制定治疗计划（简单）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人工制定治疗计划（复杂）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计算机治疗计划系统（TPS）</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特定计算机治疗计划系统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加速器适型治疗计划系统</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二维放疗计划设计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三维适形放疗计划设计</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临床靶区勾画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放疗计划制定-调强计划制定（加收）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调强放疗计划设计</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013401010010011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放疗计划制定-立体定向放疗计划制定（加收）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立体定向放疗计划设计</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伽玛刀治疗计划系统</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X刀之TPS治疗计划系统</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9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013401010020000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放疗计划验证</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所定价格涵盖固定、摆位、标记、扫描、获取影像、比较、校正、标记及剂量验证等过程中所需的人力资源、设备运转成本消耗与基本物耗。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二维剂量验证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三维剂量验证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点剂量验证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在体剂量验证</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X线模拟机校位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CT模拟机三维定位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所定价格涵盖模具设计与制作、摆位、体位固定、图像扫描、标记、必要时静脉输注对比剂、定位、获取影像、传输、记录等过程中所需的人力资源、设备运转成本消耗与基本物耗。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专用X线机复杂模拟定位</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合金模具设计及制作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填充模具设计及制作</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补偿物设计及制作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面模设计及制作</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9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CT模拟机三维定位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CT模拟机四维定位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质子补偿器制备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质子限束器制备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薄铅皮挡块制备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电子束铅模制备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X线铅模制备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大面积不规则野铅模制备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非均匀性补偿铅模制备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校位模板制备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发泡胶模具制备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蜡模制备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凡士林垫块制备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水囊补偿物制备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口含器补偿物制备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头颈肩网罩制备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面罩制备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体部固定膜制备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真空垫制备</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等效胶体制备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放疗模拟定位-特殊影像模拟定位（加收）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磁共振成像 （MRI）模拟定位</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013401020010002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放疗模拟定位-简易模拟定位（减收）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简易定位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专用X线机模拟定位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X线模拟机定位</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外照射治疗（普通）</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所定价格涵盖摆位、体位固定、操作设备出束治疗、实时监控、必要时使用射线档块、剂量补偿物等过程中所需的人力资源、设备运转成本消耗与基本物耗。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直线加速器放疗（固定照射）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直线加速器放疗（特殊照射）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全身电子线照射</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 （MRI）实时显像监控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013401030010001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外照射治疗（普通）-超长靶区（加收）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不规则野大面积照射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半身照射</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所定价格涵盖治疗摆位、体位固定、操作设备、出束治疗、实时监控、必要时使用射线档块、剂量补偿物等过程中所需的人力资源、设备运转成本消耗与基本物耗。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深/浅部X线照射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60钴外照射（固定照射）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60钴外照射（特殊照射）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60钴旋转弧照射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60钴楔形滤板照射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60钴射野适形照射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直线加速器适型治疗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直线加速器三维适形照射</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 （MRI）实时显像监控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013401030020001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外照射治疗（光子线-适形）-超长靶区（加收）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全身60钴照射</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全身X线照射</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所定价格涵盖治疗摆位、体位固定、操作设备、出束治疗、实时监控、必要时使用射线档块、剂量补偿物等过程中所需的人力资源、设备运转成本消耗与基本物耗。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适型调强放射治疗（IMRT）</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 （MRI）实时显像监控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013401030030031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外照射治疗（光子线-调强）-运动管理（加收）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器官运动控制</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013401030030041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外照射治疗（光子线-调强）-图像引导（加收）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图像引导的固定野调强放疗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013401030030051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外照射治疗（光子线-调强）-断层调强放疗（加收）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螺旋断层放射治疗（TomoTherapy）                            图像引导的局部断层调强放疗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图像引导的全身断层调强放疗</w:t>
            </w:r>
          </w:p>
        </w:tc>
        <w:tc>
          <w:tcPr>
            <w:tcW w:w="2937" w:type="dxa"/>
            <w:tcMar>
              <w:top w:w="0" w:type="dxa"/>
              <w:left w:w="57" w:type="dxa"/>
              <w:bottom w:w="0" w:type="dxa"/>
              <w:right w:w="57" w:type="dxa"/>
            </w:tcMar>
            <w:vAlign w:val="top"/>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013401030030052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外照射治疗（光子线-调强）-容积旋转调强放疗（加收）</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图像引导的旋转调强放疗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1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所定价格涵盖治疗摆位、体位固定、图像引导、操作设备、高剂量出束治疗、实时监控等过程中所需的人力资源、设备运转成本消耗与基本物耗。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X刀治疗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伽玛刀治疗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立体定向放射治疗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机器人立体定向放射治疗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 （MRI）实时显像监控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立体定向放疗固定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013401030040011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外照射治疗（光子线-立体定向）-运动管理（加收）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器官运动控制</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013401030050000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外照射治疗（质子放疗）</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所定价格涵盖治疗摆位、体位固定、图像引导、操作设备、运动管理、出束治疗、实时监控、必要时使用射线档块、剂量补偿物等过程中所需的人力资源、设备运转成本消耗与基本物耗。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质子放疗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013401030060000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外照射治疗（重离子放疗）</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所定价格涵盖治疗摆位、体位固定、图像引导、操作设备、运动管理、出束治疗、实时监控、必要时使用射线档块、剂量补偿物等过程中所需的人力资源、设备运转成本消耗与基本物耗。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重粒子放疗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013401030070000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外照射治疗（硼-中子俘获）</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所定价格涵盖设备准备、摆位、影像引导、靶区勾画、治疗计划设计、注射、局部照射等过程中所需的人力资源、设备运转成本消耗与基本物耗。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硼中子俘获治疗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磁共振成像 （MRI）实时显像监控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013401030080000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术中放疗</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所定价格涵盖暴露瘤床、确定照射区域、遮挡正常组织器官、机器操作、设备照射、阅单等步骤所需的人力资源与基本物质资源消耗。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术中电子线放疗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术中X线放疗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术中施源器置入术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所定价格涵盖模拟定位、制定计划、剂量验证、置入施源器、组织人员插植、导入放射源、照射、环境辐射监测、必要时回收放射源、解除施源器等过程中所需的人力资源及设备运转成本消耗与基本物耗。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浅表部位后装治疗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腔内后装放疗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皮肤贴敷后装放疗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血管内后装放疗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后装近距离治疗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经鼻气管支气管腔内放疗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经支气管镜气管/支气管腔内放疗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放疗计划制定</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放疗模拟定位</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手术置管放疗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浅表部位施源器置入术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腔内施源器置入术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体架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低氧放疗耐力测定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放射治疗的适时监控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X线/体表光学实时显像监控</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超声实时监控</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放射性粒子体外辐射剂量测量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近距离治疗（后装）-MR模拟定位（加收）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磁共振成像（MRI）实时显像监控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013401040010021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近距离治疗（后装）-组织间插植/放射粒子植入（加收）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组织间插置放疗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后装组织间治疗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经皮穿刺肿瘤放射性碘粒子植入术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Theme="minorEastAsia" w:hAnsiTheme="minorEastAsia" w:eastAsiaTheme="minorEastAsia" w:cstheme="minorEastAsia"/>
                <w:color w:val="auto"/>
                <w:sz w:val="20"/>
                <w:szCs w:val="20"/>
                <w:vertAlign w:val="baseline"/>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3402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放射性核素治疗</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内照射治疗（核素常规）</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所定价格涵盖治疗计划制定、放射性药品的标记与分装、注射或口服给药、防护器材使用、放射性废弃物处理、环境监测等步骤所需的人力资源与基本物质资源消耗。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131碘-甲亢治疗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131碘-功能自主状甲状腺瘤治疗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131碘-甲状腺癌转移灶治疗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131碘-肿瘤抗体放免治疗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32磷-胶体腔内治疗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89锶-骨转移瘤治疗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153钐-EDTMP骨转移瘤治疗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188铼-HEDP骨转移瘤治疗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131碘-MIBG恶性肿瘤治疗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放射性核素甲亢治疗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放射性核素功能自主性甲状腺瘤治疗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放射性核素甲状腺癌治疗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放射性核素受体恶性肿瘤治疗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放射性核素肿瘤免疫治疗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放射性核素血液病治疗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放射性核素骨转移瘤治疗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锝[99Tc]-亚甲基二磷酸</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内照射治疗（核素介入）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所定价格涵盖治疗计划制定、放射性药品的标记与分装、经皮穿刺或经血管介入给药、防护器材使用、放射性废弃物处理、环境监测等步骤所需的人力资源与基本物质资源消耗。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90钇-微球介入治疗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核素组织间介入治疗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核素血管内介入治疗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组织间粒子植入术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放射性粒子植入术</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化疗药物粒子植入术</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r>
              <w:rPr>
                <w:rFonts w:hint="eastAsia" w:asciiTheme="minorEastAsia" w:hAnsiTheme="minorEastAsia" w:eastAsiaTheme="minorEastAsia" w:cstheme="minorEastAsia"/>
                <w:color w:val="auto"/>
                <w:sz w:val="20"/>
                <w:szCs w:val="20"/>
                <w:vertAlign w:val="baseline"/>
              </w:rPr>
              <w:t>放疗计划制定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b/>
                <w:bCs/>
                <w:i w:val="0"/>
                <w:iCs w:val="0"/>
                <w:color w:val="auto"/>
                <w:kern w:val="0"/>
                <w:sz w:val="20"/>
                <w:szCs w:val="20"/>
                <w:u w:val="none"/>
                <w:lang w:val="en-US" w:eastAsia="zh-CN" w:bidi="ar"/>
              </w:rPr>
              <w:t>15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013402000030000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放射性核素敷贴治疗</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所定价格涵盖治疗计划制定、放射性药品的标记与分装、制备、敷贴、防护器材使用、放射性废弃物处理、环境监测等步骤所需的人力资源与基本物质资源消耗。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放射性核素敷贴治疗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放射性核素适形性敷贴治疗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放射性核素敷贴器治疗</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宋体" w:hAnsi="宋体" w:eastAsia="宋体" w:cs="宋体"/>
                <w:b/>
                <w:bCs/>
                <w:i w:val="0"/>
                <w:iCs w:val="0"/>
                <w:color w:val="auto"/>
                <w:kern w:val="0"/>
                <w:sz w:val="20"/>
                <w:szCs w:val="20"/>
                <w:u w:val="none"/>
                <w:lang w:val="en-US" w:eastAsia="zh-CN" w:bidi="ar"/>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康复评定</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失认症评定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失用症评定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失算症检查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吞咽功能障碍评定</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吞咽功能评估</w:t>
            </w: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言语功能全面检查</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失语症检查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口吃检查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听觉功能评定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言语功能筛查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语言功能筛查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儿童语言发育筛查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发声功能检查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言语评估检查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语言功能全面检查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听力障碍儿童语言检查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儿童语言发育评估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宋体" w:hAnsi="宋体" w:eastAsia="宋体" w:cs="宋体"/>
                <w:b/>
                <w:bCs/>
                <w:i w:val="0"/>
                <w:iCs w:val="0"/>
                <w:color w:val="auto"/>
                <w:kern w:val="0"/>
                <w:sz w:val="20"/>
                <w:szCs w:val="20"/>
                <w:u w:val="none"/>
                <w:lang w:val="en-US" w:eastAsia="zh-CN" w:bidi="ar"/>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015100000030100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言语功能检查-人工智能辅助检查（扩展）</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计算机语音分析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015100000040000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徒手平衡功能检查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徒手肌力检查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仪器平衡功能评定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等速肌力测定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手功能评定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疲劳度测定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肢体形态学测量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脊髓损伤ASIA评价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截瘫功能评定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步态分析检查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足底压力检查</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等长肌力测定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协调功能评价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人体残伤测定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肌张力评定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关节活动度检查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015100000050000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心功能康复评定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肺功能康复评定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膀胱容量测定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仪器法膀胱容量测定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康复评定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6分钟步行测试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呼吸方式呼吸肌功能评定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015100000060000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神经发育障碍检查</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所定价格涵盖资料收集、状态评估、应用各种方式测查、分析、得出结论等步骤所需的人力资源、设备成本与基本物质资源消耗。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儿童语言发育筛查</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儿童语言发育评估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宋体" w:hAnsi="宋体" w:eastAsia="宋体" w:cs="宋体"/>
                <w:b/>
                <w:bCs/>
                <w:i w:val="0"/>
                <w:iCs w:val="0"/>
                <w:color w:val="auto"/>
                <w:kern w:val="0"/>
                <w:sz w:val="20"/>
                <w:szCs w:val="20"/>
                <w:u w:val="none"/>
                <w:lang w:val="en-US" w:eastAsia="zh-CN" w:bidi="ar"/>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52</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康复治疗</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7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Theme="minorEastAsia" w:hAnsiTheme="minorEastAsia" w:eastAsiaTheme="minorEastAsia" w:cstheme="minorEastAsia"/>
                <w:color w:val="auto"/>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意识功能训练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所定价格涵盖计划制定、手法及应用不同康复设备完成声、光、电等各种感觉刺激及各种无创脑调控技术等步骤所需的人力资源、设备成本与基本物质资源消耗。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2"/>
                <w:sz w:val="20"/>
                <w:szCs w:val="20"/>
                <w:u w:val="none"/>
                <w:lang w:val="en-US" w:eastAsia="zh-CN" w:bidi="ar-SA"/>
              </w:rPr>
            </w:pPr>
            <w:r>
              <w:rPr>
                <w:rFonts w:hint="eastAsia" w:ascii="宋体" w:hAnsi="宋体" w:eastAsia="宋体" w:cs="宋体"/>
                <w:i w:val="0"/>
                <w:iCs w:val="0"/>
                <w:color w:val="auto"/>
                <w:kern w:val="0"/>
                <w:sz w:val="20"/>
                <w:szCs w:val="20"/>
                <w:u w:val="none"/>
                <w:lang w:val="en-US" w:eastAsia="zh-CN" w:bidi="ar"/>
              </w:rPr>
              <w:t>经颅磁刺激治疗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8</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015200000020000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所定价格涵盖计划制定、手法及应用不同康复设备进行认知功能训练等步骤所需的人力资源、设备成本与基本物质资源消耗。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认知知觉功能障碍训练</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认知障碍康复训练</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感觉统合治疗</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7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引导式教育训练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知觉障碍康复训练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儿童视觉感觉统合训练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认知矫正治疗（CCRT）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体感互动康复训练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儿童作业治疗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视听音乐综合训练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感觉训练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情景互动训练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儿童认知能力训练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儿童适应能力训练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认知行为塑造训练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9</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015200000030000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所定价格涵盖计划制定、手法及应用不同康复设备进行吞咽功能训练等步骤所需的人力资源、设备成本与基本物质资源消耗。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吞咽功能障碍训练</w:t>
            </w:r>
          </w:p>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吞咽障碍治疗</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肌肉功能训练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儿童口部感觉运动功能训练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吞咽电刺激治疗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吞咽球囊治疗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10</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015200000040000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言语功能训练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所定价格涵盖计划制定、手法及应用不同康复设备进行言语功能训练等步骤所需的人力资源、设备成本与基本物质资源消耗。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口吃训练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言语训练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儿童听力障碍语言训练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构音障碍训练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听力整合及语言训练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口吃治疗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失语症治疗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儿童语言康复治疗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孤独症儿童语言障碍训练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发声障碍治疗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喉切除术后语音治疗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实用语言交流能力治疗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诵读训练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儿童言语治疗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神经学音乐治疗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restart"/>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11</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所定价格涵盖计划制定、手法及应用不同康复设备进行运动功能训练等步骤所需的人力资源、设备成本与基本物质资源消耗。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运动疗法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减重支持系统训练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电动起立床训练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平衡功能训练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手功能训练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有氧训练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文体训练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等速肌力训练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偏瘫肢体综合训练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脑瘫肢体综合训练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截瘫肢体综合训练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脊柱侧凸康复治疗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脊柱矫形器康复治疗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脊柱关节松动训练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颈部综合运动训练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腰背肌器械训练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徒手肌力训练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下肢综合运动训练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跑台康复训练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功率自行车康复训练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平衡生物反馈训练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肢体平衡功能训练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徒手手功能训练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器械手功能训练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小关节松动训练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大关节松动训练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医疗体操训练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文体活动疗法</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身体功能障碍作业疗法训练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儿童作业治疗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四肢瘫肢体综合训练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截肢肢体综合训练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上下肢协调功能训练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上肢综合运动训练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烧伤后手功能训练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烧伤后关节功能训练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腰部综合运动训练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转移动作训练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持续性被动关节活动范围训练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床边徒手肢体运动训练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博巴斯训练（Bobath）</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布氏训练（Brunnstrom）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本体感觉神经肌肉促进训练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运动再学习训练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肌肉肌腱牵拉训练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站立步行能力综合训练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协调性训练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烧伤功能训练床治疗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截肢术后康复训练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耐力训练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悬吊网架训练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筋膜松解治疗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体力耐力训练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动静态平衡训练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体感互动康复训练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良肢位摆放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轮椅篮球训练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轮椅跑台训练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轮椅体操训练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上肢矫形器康复治疗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下肢矫形器康复治疗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机器人辅助康复训练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镜像视觉反馈训练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下肢机器人康复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vMerge w:val="continue"/>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280" w:lineRule="exact"/>
              <w:ind w:left="0" w:right="0"/>
              <w:jc w:val="center"/>
              <w:rPr>
                <w:rFonts w:hint="eastAsia" w:ascii="宋体" w:hAnsi="宋体" w:eastAsia="宋体" w:cs="宋体"/>
                <w:b/>
                <w:bCs/>
                <w:i w:val="0"/>
                <w:iCs w:val="0"/>
                <w:color w:val="auto"/>
                <w:kern w:val="0"/>
                <w:sz w:val="20"/>
                <w:szCs w:val="20"/>
                <w:u w:val="none"/>
                <w:lang w:val="en-US" w:eastAsia="zh-CN" w:bidi="ar"/>
              </w:rPr>
            </w:pP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015200000050011</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运动功能训练-运动功能训练（水中）（加收）</w:t>
            </w:r>
          </w:p>
        </w:tc>
        <w:tc>
          <w:tcPr>
            <w:tcW w:w="346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水中肢体功能训练</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步行浴训练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电动浴缸训练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水中步行运动训练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12</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015200000060000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脏器功能训练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所定价格涵盖计划制定、手法及应用不同康复设备进行脏器功能训练等步骤所需的人力资源、设备成本与基本物质资源消耗。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膀胱功能训练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肠道功能训练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呼吸功能训练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心功能康复训练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肺功能综合训练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肛周肌群功能训练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13</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015200000070000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辅助器具使用训练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所定价格涵盖计划制定、各种辅助（器）具训练等步骤所需的人力资源和基本物质资源消耗。</w:t>
            </w:r>
          </w:p>
        </w:tc>
        <w:tc>
          <w:tcPr>
            <w:tcW w:w="312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辅助器具作业疗法训练</w:t>
            </w: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Theme="minorEastAsia" w:hAnsiTheme="minorEastAsia" w:eastAsiaTheme="minorEastAsia" w:cstheme="minorEastAsia"/>
                <w:color w:val="auto"/>
                <w:sz w:val="20"/>
                <w:szCs w:val="20"/>
                <w:vertAlign w:val="baseline"/>
              </w:rPr>
            </w:pPr>
            <w:r>
              <w:rPr>
                <w:rFonts w:hint="eastAsia" w:ascii="宋体" w:hAnsi="宋体" w:eastAsia="宋体" w:cs="宋体"/>
                <w:i w:val="0"/>
                <w:iCs w:val="0"/>
                <w:color w:val="auto"/>
                <w:kern w:val="0"/>
                <w:sz w:val="20"/>
                <w:szCs w:val="20"/>
                <w:u w:val="none"/>
                <w:lang w:val="en-US" w:eastAsia="zh-CN" w:bidi="ar"/>
              </w:rPr>
              <w:t>轮椅功能训练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轮椅技能训练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假肢使用训练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矫形器使用训练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固定矫形器康复治疗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自助具康复治疗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辅助器具使用评价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轮椅肢位摆放评定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截肢初期评价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截肢中期评价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截肢末期评价</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假肢评定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14</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015200000080000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生活技能康复训练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独立生活能力训练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家务劳动训练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社会认知与互动训练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日常生活能力训练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社交技能训练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作业疗法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15</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015200000090000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职业技能康复训练</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职业能力评定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职业功能训练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徒手职业能力评定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器械职业能力评定</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职业功能训练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工作模拟训练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工作强化训练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工作行为教育与训练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5"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16</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015200000100000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神经发育障碍康复训练（个体）</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引导式教育训练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感觉统合治疗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儿童作业治疗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儿童孤独症综合训练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儿童认知能力训练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儿童适应能力训练</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儿童精神康复训练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10" w:hRule="atLeast"/>
          <w:jc w:val="center"/>
        </w:trPr>
        <w:tc>
          <w:tcPr>
            <w:tcW w:w="616"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17</w:t>
            </w:r>
          </w:p>
        </w:tc>
        <w:tc>
          <w:tcPr>
            <w:tcW w:w="1875" w:type="dxa"/>
            <w:shd w:val="clear" w:color="auto" w:fill="auto"/>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015200000110000</w:t>
            </w:r>
          </w:p>
        </w:tc>
        <w:tc>
          <w:tcPr>
            <w:tcW w:w="2644"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8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神经发育障碍康复训练（团体）</w:t>
            </w:r>
          </w:p>
        </w:tc>
        <w:tc>
          <w:tcPr>
            <w:tcW w:w="3462" w:type="dxa"/>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00" w:lineRule="exact"/>
              <w:ind w:left="0" w:right="0"/>
              <w:jc w:val="both"/>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所定价格涵盖评估、计划制定、指导学习、模拟训练、实际动作训练等步骤所需的人力资源、设备成本与基本物质资源消耗。</w:t>
            </w:r>
          </w:p>
        </w:tc>
        <w:tc>
          <w:tcPr>
            <w:tcW w:w="3122"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c>
          <w:tcPr>
            <w:tcW w:w="2937" w:type="dxa"/>
            <w:tcMar>
              <w:top w:w="0" w:type="dxa"/>
              <w:left w:w="57" w:type="dxa"/>
              <w:bottom w:w="0" w:type="dxa"/>
              <w:right w:w="57" w:type="dxa"/>
            </w:tcMar>
            <w:vAlign w:val="center"/>
          </w:tcPr>
          <w:p>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300" w:lineRule="exact"/>
              <w:ind w:left="0" w:right="0"/>
              <w:jc w:val="both"/>
              <w:rPr>
                <w:rFonts w:hint="eastAsia" w:ascii="宋体" w:hAnsi="宋体" w:eastAsia="宋体" w:cs="宋体"/>
                <w:i w:val="0"/>
                <w:iCs w:val="0"/>
                <w:color w:val="auto"/>
                <w:kern w:val="0"/>
                <w:sz w:val="20"/>
                <w:szCs w:val="20"/>
                <w:u w:val="none"/>
                <w:lang w:val="en-US" w:eastAsia="zh-CN" w:bidi="ar"/>
              </w:rPr>
            </w:pPr>
          </w:p>
        </w:tc>
      </w:tr>
    </w:tbl>
    <w:p>
      <w:pPr>
        <w:rPr>
          <w:rFonts w:hint="eastAsia"/>
          <w:lang w:val="en-US" w:eastAsia="zh-CN"/>
        </w:rPr>
      </w:pPr>
    </w:p>
    <w:p>
      <w:pPr>
        <w:ind w:firstLine="640" w:firstLineChars="200"/>
        <w:rPr>
          <w:rFonts w:eastAsia="仿宋_GB2312" w:cs="Times New Roman"/>
        </w:rPr>
        <w:sectPr>
          <w:footerReference r:id="rId5" w:type="default"/>
          <w:footerReference r:id="rId6" w:type="even"/>
          <w:pgSz w:w="16838" w:h="11906" w:orient="landscape"/>
          <w:pgMar w:top="1502" w:right="1701" w:bottom="1502" w:left="1701" w:header="851" w:footer="1134" w:gutter="0"/>
          <w:pgNumType w:fmt="decimal"/>
          <w:cols w:space="0" w:num="1"/>
          <w:rtlGutter w:val="0"/>
          <w:docGrid w:type="lines" w:linePitch="579" w:charSpace="0"/>
        </w:sectPr>
      </w:pPr>
    </w:p>
    <w:p>
      <w:pPr>
        <w:rPr>
          <w:rFonts w:hint="eastAsia" w:eastAsia="仿宋_GB2312" w:cs="Times New Roman"/>
        </w:rPr>
      </w:pPr>
    </w:p>
    <w:sectPr>
      <w:footerReference r:id="rId7" w:type="default"/>
      <w:footerReference r:id="rId8" w:type="even"/>
      <w:pgSz w:w="11906" w:h="16838"/>
      <w:pgMar w:top="2098" w:right="1502" w:bottom="1984" w:left="1502" w:header="851" w:footer="1701" w:gutter="0"/>
      <w:cols w:space="0" w:num="1"/>
      <w:docGrid w:type="lines" w:linePitch="57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271905" cy="1828800"/>
              <wp:effectExtent l="0" t="0" r="0" b="0"/>
              <wp:wrapNone/>
              <wp:docPr id="11" name="文本框 11"/>
              <wp:cNvGraphicFramePr/>
              <a:graphic xmlns:a="http://schemas.openxmlformats.org/drawingml/2006/main">
                <a:graphicData uri="http://schemas.microsoft.com/office/word/2010/wordprocessingShape">
                  <wps:wsp>
                    <wps:cNvSpPr txBox="1"/>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righ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00.15pt;mso-position-horizontal:outside;mso-position-horizontal-relative:margin;z-index:251659264;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BYAAABkcnMvUEsBAhQAFAAAAAgAh07iQIvCyP/SAAAABQEA&#10;AA8AAAAAAAAAAQAgAAAAOAAAAGRycy9kb3ducmV2LnhtbFBLAQIUABQAAAAIAIdO4kDyk8x6QwIA&#10;AHIEAAAOAAAAAAAAAAEAIAAAADcBAABkcnMvZTJvRG9jLnhtbFBLBQYAAAAABgAGAFkBAADsBQAA&#10;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righ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271905" cy="1828800"/>
              <wp:effectExtent l="0" t="0" r="0" b="0"/>
              <wp:wrapNone/>
              <wp:docPr id="1" name="文本框 1"/>
              <wp:cNvGraphicFramePr/>
              <a:graphic xmlns:a="http://schemas.openxmlformats.org/drawingml/2006/main">
                <a:graphicData uri="http://schemas.microsoft.com/office/word/2010/wordprocessingShape">
                  <wps:wsp>
                    <wps:cNvSpPr txBox="1"/>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lef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00.15pt;mso-position-horizontal:outside;mso-position-horizontal-relative:margin;z-index:251660288;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WAAAAZHJzL1BLAQIUABQAAAAIAIdO4kCLwsj/0gAAAAUBAAAP&#10;AAAAAAAAAAEAIAAAADgAAABkcnMvZG93bnJldi54bWxQSwECFAAUAAAACACHTuJAcKyICEECAABw&#10;BAAADgAAAAAAAAABACAAAAA3AQAAZHJzL2Uyb0RvYy54bWxQSwUGAAAAAAYABgBZAQAA6gUAA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left"/>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1905" cy="1828800"/>
              <wp:effectExtent l="0" t="0" r="0" b="0"/>
              <wp:wrapNone/>
              <wp:docPr id="7" name="文本框 7"/>
              <wp:cNvGraphicFramePr/>
              <a:graphic xmlns:a="http://schemas.openxmlformats.org/drawingml/2006/main">
                <a:graphicData uri="http://schemas.microsoft.com/office/word/2010/wordprocessingShape">
                  <wps:wsp>
                    <wps:cNvSpPr txBox="1"/>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00.15pt;mso-position-horizontal:center;mso-position-horizontal-relative:margin;z-index:251661312;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BYAAABkcnMvUEsBAhQAFAAAAAgAh07iQIvCyP/SAAAABQEA&#10;AA8AAAAAAAAAAQAgAAAAOAAAAGRycy9kb3ducmV2LnhtbFBLAQIUABQAAAAIAIdO4kAo49x6QwIA&#10;AHAEAAAOAAAAAAAAAAEAIAAAADcBAABkcnMvZTJvRG9jLnhtbFBLBQYAAAAABgAGAFkBAADsBQAA&#10;A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1</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eastAsia="方正仿宋简体" w:cs="方正仿宋简体"/>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71905" cy="1828800"/>
              <wp:effectExtent l="0" t="0" r="0" b="0"/>
              <wp:wrapNone/>
              <wp:docPr id="8" name="文本框 8"/>
              <wp:cNvGraphicFramePr/>
              <a:graphic xmlns:a="http://schemas.openxmlformats.org/drawingml/2006/main">
                <a:graphicData uri="http://schemas.microsoft.com/office/word/2010/wordprocessingShape">
                  <wps:wsp>
                    <wps:cNvSpPr txBox="1"/>
                    <wps:spPr>
                      <a:xfrm>
                        <a:off x="942340" y="9480550"/>
                        <a:ext cx="1271905"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00.15pt;mso-position-horizontal:center;mso-position-horizontal-relative:margin;z-index:251662336;mso-width-relative:page;mso-height-relative:page;" filled="f" stroked="f" coordsize="21600,21600" o:gfxdata="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FgAAAGRycy9QSwECFAAUAAAACACHTuJAi8LI/9IAAAAFAQAA&#10;DwAAAAAAAAABACAAAAA4AAAAZHJzL2Rvd25yZXYueG1sUEsBAhQAFAAAAAgAh07iQDRaXqdCAgAA&#10;cAQAAA4AAAAAAAAAAQAgAAAANwEAAGRycy9lMm9Eb2MueG1sUEsFBgAAAAAGAAYAWQEAAOsFAAAA&#10;AA==&#10;">
              <v:fill on="f" focussize="0,0"/>
              <v:stroke on="f" weight="0.5pt"/>
              <v:imagedata o:title=""/>
              <o:lock v:ext="edit" aspectratio="f"/>
              <v:textbox inset="0mm,0mm,0mm,0mm" style="mso-fit-shape-to-text:t;">
                <w:txbxContent>
                  <w:p>
                    <w:pPr>
                      <w:tabs>
                        <w:tab w:val="center" w:pos="4153"/>
                        <w:tab w:val="right" w:pos="8306"/>
                      </w:tabs>
                      <w:snapToGrid w:val="0"/>
                      <w:ind w:left="413" w:leftChars="129" w:right="413" w:rightChars="129"/>
                      <w:jc w:val="center"/>
                      <w:rPr>
                        <w:rFonts w:eastAsia="方正仿宋简体" w:cs="方正仿宋简体"/>
                        <w:sz w:val="28"/>
                        <w:szCs w:val="28"/>
                      </w:rPr>
                    </w:pPr>
                    <w:r>
                      <w:rPr>
                        <w:rFonts w:hint="eastAsia" w:eastAsia="方正仿宋简体" w:cs="方正仿宋简体"/>
                        <w:sz w:val="28"/>
                        <w:szCs w:val="28"/>
                      </w:rPr>
                      <w:t>—</w:t>
                    </w:r>
                    <w:r>
                      <w:rPr>
                        <w:rFonts w:hint="eastAsia" w:eastAsia="方正仿宋简体" w:cs="方正仿宋简体"/>
                        <w:color w:val="FFFFFF"/>
                        <w:sz w:val="28"/>
                        <w:szCs w:val="28"/>
                      </w:rPr>
                      <w:t xml:space="preserve"> </w:t>
                    </w:r>
                    <w:r>
                      <w:rPr>
                        <w:rFonts w:eastAsia="方正仿宋简体" w:cs="Times New Roman"/>
                        <w:sz w:val="28"/>
                        <w:szCs w:val="28"/>
                      </w:rPr>
                      <w:fldChar w:fldCharType="begin"/>
                    </w:r>
                    <w:r>
                      <w:rPr>
                        <w:rFonts w:eastAsia="方正仿宋简体" w:cs="Times New Roman"/>
                        <w:sz w:val="28"/>
                        <w:szCs w:val="28"/>
                      </w:rPr>
                      <w:instrText xml:space="preserve"> PAGE  \* MERGEFORMAT </w:instrText>
                    </w:r>
                    <w:r>
                      <w:rPr>
                        <w:rFonts w:eastAsia="方正仿宋简体" w:cs="Times New Roman"/>
                        <w:sz w:val="28"/>
                        <w:szCs w:val="28"/>
                      </w:rPr>
                      <w:fldChar w:fldCharType="separate"/>
                    </w:r>
                    <w:r>
                      <w:rPr>
                        <w:rFonts w:eastAsia="方正仿宋简体" w:cs="Times New Roman"/>
                        <w:sz w:val="28"/>
                        <w:szCs w:val="28"/>
                      </w:rPr>
                      <w:t>2</w:t>
                    </w:r>
                    <w:r>
                      <w:rPr>
                        <w:rFonts w:eastAsia="方正仿宋简体" w:cs="Times New Roman"/>
                        <w:sz w:val="28"/>
                        <w:szCs w:val="28"/>
                      </w:rPr>
                      <w:fldChar w:fldCharType="end"/>
                    </w:r>
                    <w:r>
                      <w:rPr>
                        <w:rFonts w:hint="eastAsia" w:eastAsia="方正仿宋简体" w:cs="方正仿宋简体"/>
                        <w:color w:val="FFFFFF"/>
                        <w:sz w:val="28"/>
                        <w:szCs w:val="28"/>
                      </w:rPr>
                      <w:t xml:space="preserve"> </w:t>
                    </w:r>
                    <w:r>
                      <w:rPr>
                        <w:rFonts w:hint="eastAsia" w:eastAsia="方正仿宋简体" w:cs="方正仿宋简体"/>
                        <w:sz w:val="28"/>
                        <w:szCs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yZjEwNzI5NjY0YTZmNjgyMmNmYmYzYjBlMTdjOTcifQ=="/>
  </w:docVars>
  <w:rsids>
    <w:rsidRoot w:val="0E900702"/>
    <w:rsid w:val="001C6858"/>
    <w:rsid w:val="00AD0031"/>
    <w:rsid w:val="00C7424E"/>
    <w:rsid w:val="00D04353"/>
    <w:rsid w:val="00ED4CA4"/>
    <w:rsid w:val="011F0B23"/>
    <w:rsid w:val="016F6796"/>
    <w:rsid w:val="041459D8"/>
    <w:rsid w:val="053C9509"/>
    <w:rsid w:val="06DDD885"/>
    <w:rsid w:val="07261D8A"/>
    <w:rsid w:val="0A352EF0"/>
    <w:rsid w:val="0B126805"/>
    <w:rsid w:val="0C523547"/>
    <w:rsid w:val="0CFEC23B"/>
    <w:rsid w:val="0E5E3E84"/>
    <w:rsid w:val="0E900702"/>
    <w:rsid w:val="0F5F61E0"/>
    <w:rsid w:val="0FC5D0FC"/>
    <w:rsid w:val="0FFDD063"/>
    <w:rsid w:val="103D0CF6"/>
    <w:rsid w:val="1056041C"/>
    <w:rsid w:val="13571CBE"/>
    <w:rsid w:val="17BA5A09"/>
    <w:rsid w:val="196D2F1C"/>
    <w:rsid w:val="1B225CD2"/>
    <w:rsid w:val="1B610F3A"/>
    <w:rsid w:val="1B8EEE51"/>
    <w:rsid w:val="1CFA5EE2"/>
    <w:rsid w:val="1D7DE65E"/>
    <w:rsid w:val="1EFF4A59"/>
    <w:rsid w:val="1F211DEC"/>
    <w:rsid w:val="1FD6C36D"/>
    <w:rsid w:val="1FF74246"/>
    <w:rsid w:val="1FF7DF06"/>
    <w:rsid w:val="20EB5EB9"/>
    <w:rsid w:val="22946545"/>
    <w:rsid w:val="24B72281"/>
    <w:rsid w:val="25D84F06"/>
    <w:rsid w:val="26E8D10C"/>
    <w:rsid w:val="28DB0EFF"/>
    <w:rsid w:val="29379B45"/>
    <w:rsid w:val="2AFA300F"/>
    <w:rsid w:val="2B3A4168"/>
    <w:rsid w:val="2BFDB9B0"/>
    <w:rsid w:val="2BFFDE31"/>
    <w:rsid w:val="2CA760BB"/>
    <w:rsid w:val="2D662A0E"/>
    <w:rsid w:val="2DF944FC"/>
    <w:rsid w:val="2DFC826E"/>
    <w:rsid w:val="2DFD2E74"/>
    <w:rsid w:val="2F4657F7"/>
    <w:rsid w:val="2FBB2890"/>
    <w:rsid w:val="2FBF101B"/>
    <w:rsid w:val="3322349B"/>
    <w:rsid w:val="337FB599"/>
    <w:rsid w:val="35E6607D"/>
    <w:rsid w:val="373FFE50"/>
    <w:rsid w:val="376FDF07"/>
    <w:rsid w:val="378E6333"/>
    <w:rsid w:val="37DB581B"/>
    <w:rsid w:val="37FBD45E"/>
    <w:rsid w:val="37FFDB67"/>
    <w:rsid w:val="39B5AAD6"/>
    <w:rsid w:val="39E85317"/>
    <w:rsid w:val="39FF397B"/>
    <w:rsid w:val="3AA77CA8"/>
    <w:rsid w:val="3B9F1D32"/>
    <w:rsid w:val="3BC7A535"/>
    <w:rsid w:val="3BF3EDF1"/>
    <w:rsid w:val="3C9EDB05"/>
    <w:rsid w:val="3CED6FA9"/>
    <w:rsid w:val="3CFF0243"/>
    <w:rsid w:val="3D6D2822"/>
    <w:rsid w:val="3D7D4B5F"/>
    <w:rsid w:val="3DFBCCFB"/>
    <w:rsid w:val="3E041CBD"/>
    <w:rsid w:val="3E9E551A"/>
    <w:rsid w:val="3EDDE117"/>
    <w:rsid w:val="3EF72B19"/>
    <w:rsid w:val="3EFF63FC"/>
    <w:rsid w:val="3F3FD1D9"/>
    <w:rsid w:val="3F7348C3"/>
    <w:rsid w:val="3F9B720B"/>
    <w:rsid w:val="3FB70C63"/>
    <w:rsid w:val="3FBD1523"/>
    <w:rsid w:val="3FFB8839"/>
    <w:rsid w:val="3FFF6FD1"/>
    <w:rsid w:val="40E5601A"/>
    <w:rsid w:val="42CB3E0A"/>
    <w:rsid w:val="42DC702D"/>
    <w:rsid w:val="42F36125"/>
    <w:rsid w:val="435FA5A6"/>
    <w:rsid w:val="44136A7F"/>
    <w:rsid w:val="46DC425B"/>
    <w:rsid w:val="46DF7A56"/>
    <w:rsid w:val="47571E8B"/>
    <w:rsid w:val="479B6DA5"/>
    <w:rsid w:val="486D0E8C"/>
    <w:rsid w:val="489866B2"/>
    <w:rsid w:val="48C2175B"/>
    <w:rsid w:val="49FE3E53"/>
    <w:rsid w:val="4A570F3A"/>
    <w:rsid w:val="4A5B2F2E"/>
    <w:rsid w:val="4B74ADFE"/>
    <w:rsid w:val="4B9004B5"/>
    <w:rsid w:val="4BE409EB"/>
    <w:rsid w:val="4BFF42F7"/>
    <w:rsid w:val="4F5EA04B"/>
    <w:rsid w:val="4F7DF985"/>
    <w:rsid w:val="4F8A1341"/>
    <w:rsid w:val="4F9166ED"/>
    <w:rsid w:val="4FD76C02"/>
    <w:rsid w:val="4FDD6193"/>
    <w:rsid w:val="4FFFD042"/>
    <w:rsid w:val="521A547C"/>
    <w:rsid w:val="54766CA7"/>
    <w:rsid w:val="54B9B88A"/>
    <w:rsid w:val="55DC5257"/>
    <w:rsid w:val="57135F02"/>
    <w:rsid w:val="573E8317"/>
    <w:rsid w:val="57790624"/>
    <w:rsid w:val="57E838D0"/>
    <w:rsid w:val="57FF07B8"/>
    <w:rsid w:val="580D40E7"/>
    <w:rsid w:val="59214AB7"/>
    <w:rsid w:val="5ADF1EEF"/>
    <w:rsid w:val="5AE91224"/>
    <w:rsid w:val="5B2DDD5C"/>
    <w:rsid w:val="5BBFDC15"/>
    <w:rsid w:val="5D7FC30B"/>
    <w:rsid w:val="5DC9C4FE"/>
    <w:rsid w:val="5E900175"/>
    <w:rsid w:val="5ED9B19E"/>
    <w:rsid w:val="5F72B78D"/>
    <w:rsid w:val="5F7E9482"/>
    <w:rsid w:val="5FADED94"/>
    <w:rsid w:val="5FAEC1F0"/>
    <w:rsid w:val="5FD40CCA"/>
    <w:rsid w:val="5FDFAA96"/>
    <w:rsid w:val="5FE42578"/>
    <w:rsid w:val="5FF71C86"/>
    <w:rsid w:val="5FF9BF35"/>
    <w:rsid w:val="60092CF5"/>
    <w:rsid w:val="619E2F15"/>
    <w:rsid w:val="61FC1271"/>
    <w:rsid w:val="62FED1E6"/>
    <w:rsid w:val="635F9206"/>
    <w:rsid w:val="63D12149"/>
    <w:rsid w:val="63D7E758"/>
    <w:rsid w:val="641C25C9"/>
    <w:rsid w:val="657C1922"/>
    <w:rsid w:val="66F708DB"/>
    <w:rsid w:val="67304822"/>
    <w:rsid w:val="67D79986"/>
    <w:rsid w:val="67DB6DDE"/>
    <w:rsid w:val="67F3C033"/>
    <w:rsid w:val="67F93B76"/>
    <w:rsid w:val="67FDC620"/>
    <w:rsid w:val="67FF36E4"/>
    <w:rsid w:val="691C0095"/>
    <w:rsid w:val="69F6749C"/>
    <w:rsid w:val="6ABADFF7"/>
    <w:rsid w:val="6AEDCF76"/>
    <w:rsid w:val="6B336FA0"/>
    <w:rsid w:val="6BFE8DCC"/>
    <w:rsid w:val="6C614698"/>
    <w:rsid w:val="6C9736C2"/>
    <w:rsid w:val="6CDB0852"/>
    <w:rsid w:val="6D5B4B5B"/>
    <w:rsid w:val="6DD7762E"/>
    <w:rsid w:val="6DF7A16E"/>
    <w:rsid w:val="6DF7EF2F"/>
    <w:rsid w:val="6DFA0CF8"/>
    <w:rsid w:val="6E140BC9"/>
    <w:rsid w:val="6E6F1D66"/>
    <w:rsid w:val="6EB39AA5"/>
    <w:rsid w:val="6EDBDF11"/>
    <w:rsid w:val="6EF92BD3"/>
    <w:rsid w:val="6EFBA484"/>
    <w:rsid w:val="6F5F87C7"/>
    <w:rsid w:val="6F7F3948"/>
    <w:rsid w:val="6F7FE470"/>
    <w:rsid w:val="6F996372"/>
    <w:rsid w:val="6FA736D3"/>
    <w:rsid w:val="6FB233C2"/>
    <w:rsid w:val="6FBFF3D1"/>
    <w:rsid w:val="6FDF2166"/>
    <w:rsid w:val="6FE763F2"/>
    <w:rsid w:val="6FF99B0D"/>
    <w:rsid w:val="6FFBA2A5"/>
    <w:rsid w:val="6FFDEC00"/>
    <w:rsid w:val="6FFF89C6"/>
    <w:rsid w:val="71FE804E"/>
    <w:rsid w:val="727F2E6B"/>
    <w:rsid w:val="7367BE39"/>
    <w:rsid w:val="73703774"/>
    <w:rsid w:val="73FB4287"/>
    <w:rsid w:val="73FD8EA3"/>
    <w:rsid w:val="74FF8EB9"/>
    <w:rsid w:val="756885CE"/>
    <w:rsid w:val="75798A79"/>
    <w:rsid w:val="767FBC54"/>
    <w:rsid w:val="76F7CD9F"/>
    <w:rsid w:val="775F2D61"/>
    <w:rsid w:val="77BE1A16"/>
    <w:rsid w:val="77E298CB"/>
    <w:rsid w:val="77F6537A"/>
    <w:rsid w:val="77F7ED85"/>
    <w:rsid w:val="77FDC6C6"/>
    <w:rsid w:val="77FF41E3"/>
    <w:rsid w:val="77FF5A90"/>
    <w:rsid w:val="79B21A11"/>
    <w:rsid w:val="79CF04BB"/>
    <w:rsid w:val="79FA4685"/>
    <w:rsid w:val="79FF0F9A"/>
    <w:rsid w:val="7A4D810A"/>
    <w:rsid w:val="7A7BBB6F"/>
    <w:rsid w:val="7AAAFB90"/>
    <w:rsid w:val="7ACDF9CE"/>
    <w:rsid w:val="7ADD94D6"/>
    <w:rsid w:val="7AF79ACC"/>
    <w:rsid w:val="7AF91A70"/>
    <w:rsid w:val="7AFF2982"/>
    <w:rsid w:val="7B6D1B4B"/>
    <w:rsid w:val="7B79DD44"/>
    <w:rsid w:val="7BB0945F"/>
    <w:rsid w:val="7BB3E803"/>
    <w:rsid w:val="7BBACCD2"/>
    <w:rsid w:val="7BFA47C4"/>
    <w:rsid w:val="7BFD3711"/>
    <w:rsid w:val="7BFEDBD7"/>
    <w:rsid w:val="7C1FAADD"/>
    <w:rsid w:val="7C3C7C24"/>
    <w:rsid w:val="7CF70B40"/>
    <w:rsid w:val="7D497E06"/>
    <w:rsid w:val="7DAFADA6"/>
    <w:rsid w:val="7DB57798"/>
    <w:rsid w:val="7DB6EE71"/>
    <w:rsid w:val="7DBB3165"/>
    <w:rsid w:val="7DCECB58"/>
    <w:rsid w:val="7DEF9069"/>
    <w:rsid w:val="7DF6C32A"/>
    <w:rsid w:val="7DF925CB"/>
    <w:rsid w:val="7DFB4C78"/>
    <w:rsid w:val="7DFF39B5"/>
    <w:rsid w:val="7DFFD65D"/>
    <w:rsid w:val="7E3D849E"/>
    <w:rsid w:val="7E3F9FC2"/>
    <w:rsid w:val="7E779F41"/>
    <w:rsid w:val="7EA95CC4"/>
    <w:rsid w:val="7EDFAA09"/>
    <w:rsid w:val="7EF9F966"/>
    <w:rsid w:val="7EFF021C"/>
    <w:rsid w:val="7EFF7AE4"/>
    <w:rsid w:val="7EFFD9C6"/>
    <w:rsid w:val="7F5B7EDD"/>
    <w:rsid w:val="7F5F9A50"/>
    <w:rsid w:val="7F5FAE69"/>
    <w:rsid w:val="7F6F0066"/>
    <w:rsid w:val="7F73A69B"/>
    <w:rsid w:val="7F7ED7B4"/>
    <w:rsid w:val="7F8F93C4"/>
    <w:rsid w:val="7F9E5C17"/>
    <w:rsid w:val="7F9EBFF3"/>
    <w:rsid w:val="7FB5F9D1"/>
    <w:rsid w:val="7FB78791"/>
    <w:rsid w:val="7FB79349"/>
    <w:rsid w:val="7FBCAFB9"/>
    <w:rsid w:val="7FBFDFEE"/>
    <w:rsid w:val="7FCF04EC"/>
    <w:rsid w:val="7FD2EF8E"/>
    <w:rsid w:val="7FD59C15"/>
    <w:rsid w:val="7FDC972E"/>
    <w:rsid w:val="7FF7C4E9"/>
    <w:rsid w:val="7FFA4FC2"/>
    <w:rsid w:val="7FFB0AC2"/>
    <w:rsid w:val="7FFB4C6A"/>
    <w:rsid w:val="7FFC8D45"/>
    <w:rsid w:val="7FFDB396"/>
    <w:rsid w:val="7FFEDB27"/>
    <w:rsid w:val="7FFF0AD9"/>
    <w:rsid w:val="7FFF0D14"/>
    <w:rsid w:val="7FFF8476"/>
    <w:rsid w:val="97ED6139"/>
    <w:rsid w:val="99EF5D4F"/>
    <w:rsid w:val="9BDF2DEA"/>
    <w:rsid w:val="9BFC2B6C"/>
    <w:rsid w:val="9D174944"/>
    <w:rsid w:val="9DFF8499"/>
    <w:rsid w:val="9ED7DD21"/>
    <w:rsid w:val="9F3B5C8B"/>
    <w:rsid w:val="9FEBA1ED"/>
    <w:rsid w:val="A3366E9F"/>
    <w:rsid w:val="A5FD03A5"/>
    <w:rsid w:val="A77E6FEC"/>
    <w:rsid w:val="A77F21B9"/>
    <w:rsid w:val="ABDF8429"/>
    <w:rsid w:val="ABF3156A"/>
    <w:rsid w:val="ADAEBA8B"/>
    <w:rsid w:val="ADD0060A"/>
    <w:rsid w:val="AFAF63FE"/>
    <w:rsid w:val="AFBBCA62"/>
    <w:rsid w:val="AFE75AB4"/>
    <w:rsid w:val="B2DE1CE0"/>
    <w:rsid w:val="B2FF42D5"/>
    <w:rsid w:val="B63DB8DE"/>
    <w:rsid w:val="B772C693"/>
    <w:rsid w:val="B7F2AFD0"/>
    <w:rsid w:val="B7F71687"/>
    <w:rsid w:val="B8FFC6BE"/>
    <w:rsid w:val="B9A9FE68"/>
    <w:rsid w:val="BA2CABB2"/>
    <w:rsid w:val="BAD75114"/>
    <w:rsid w:val="BAFD22BC"/>
    <w:rsid w:val="BB6DCE07"/>
    <w:rsid w:val="BBB79EA3"/>
    <w:rsid w:val="BBBD7DC8"/>
    <w:rsid w:val="BBD51D87"/>
    <w:rsid w:val="BBFE3497"/>
    <w:rsid w:val="BC311E64"/>
    <w:rsid w:val="BCD91BD3"/>
    <w:rsid w:val="BCEFFB11"/>
    <w:rsid w:val="BCFFE9D8"/>
    <w:rsid w:val="BDBF2764"/>
    <w:rsid w:val="BDFF4689"/>
    <w:rsid w:val="BE7E7FC4"/>
    <w:rsid w:val="BE7FC1EF"/>
    <w:rsid w:val="BE9DDEAA"/>
    <w:rsid w:val="BEA1B787"/>
    <w:rsid w:val="BEDF213D"/>
    <w:rsid w:val="BEFB4A7B"/>
    <w:rsid w:val="BF774F3B"/>
    <w:rsid w:val="BF7A1D49"/>
    <w:rsid w:val="BF7D2CD8"/>
    <w:rsid w:val="BF82259A"/>
    <w:rsid w:val="BFBD72EE"/>
    <w:rsid w:val="BFBE1D8D"/>
    <w:rsid w:val="BFD6CF72"/>
    <w:rsid w:val="BFD71EC5"/>
    <w:rsid w:val="BFDBCF62"/>
    <w:rsid w:val="BFDEF13D"/>
    <w:rsid w:val="BFE43119"/>
    <w:rsid w:val="BFEF0F46"/>
    <w:rsid w:val="BFFB0715"/>
    <w:rsid w:val="BFFED194"/>
    <w:rsid w:val="C38B68EC"/>
    <w:rsid w:val="C77FFEC0"/>
    <w:rsid w:val="C8FFAA99"/>
    <w:rsid w:val="CB8D29C6"/>
    <w:rsid w:val="CBBFBD5A"/>
    <w:rsid w:val="CCFF1C48"/>
    <w:rsid w:val="CEDB1767"/>
    <w:rsid w:val="CFEF296D"/>
    <w:rsid w:val="CFFF055A"/>
    <w:rsid w:val="CFFF07F9"/>
    <w:rsid w:val="D1561DD8"/>
    <w:rsid w:val="D5F2106A"/>
    <w:rsid w:val="D6F9B506"/>
    <w:rsid w:val="D6FF91DB"/>
    <w:rsid w:val="D7FBB2AA"/>
    <w:rsid w:val="D7FD09C8"/>
    <w:rsid w:val="D7FF2149"/>
    <w:rsid w:val="D86F8183"/>
    <w:rsid w:val="D9DD4035"/>
    <w:rsid w:val="DAF9D101"/>
    <w:rsid w:val="DAFB0518"/>
    <w:rsid w:val="DB1F81F8"/>
    <w:rsid w:val="DBE1D239"/>
    <w:rsid w:val="DBFF07F7"/>
    <w:rsid w:val="DDEDACC6"/>
    <w:rsid w:val="DEF7BF64"/>
    <w:rsid w:val="DEF99D18"/>
    <w:rsid w:val="DF1759E4"/>
    <w:rsid w:val="DF296241"/>
    <w:rsid w:val="DF7F4349"/>
    <w:rsid w:val="DF7FC9D6"/>
    <w:rsid w:val="DFD70089"/>
    <w:rsid w:val="DFDEA05F"/>
    <w:rsid w:val="DFDFFB00"/>
    <w:rsid w:val="DFE62105"/>
    <w:rsid w:val="DFFEE651"/>
    <w:rsid w:val="E5FF8D71"/>
    <w:rsid w:val="E7D66624"/>
    <w:rsid w:val="E7DFF680"/>
    <w:rsid w:val="E7EE1109"/>
    <w:rsid w:val="E7FD5267"/>
    <w:rsid w:val="E7FE2095"/>
    <w:rsid w:val="EBDF017D"/>
    <w:rsid w:val="ECB958FE"/>
    <w:rsid w:val="ECF77C02"/>
    <w:rsid w:val="EDDF8F02"/>
    <w:rsid w:val="EE7F3AE6"/>
    <w:rsid w:val="EEFF00A3"/>
    <w:rsid w:val="EF173EEA"/>
    <w:rsid w:val="EF5ED7A5"/>
    <w:rsid w:val="EF77C63D"/>
    <w:rsid w:val="EF7D19E3"/>
    <w:rsid w:val="EFBDAF4C"/>
    <w:rsid w:val="EFBF4491"/>
    <w:rsid w:val="EFBFB38D"/>
    <w:rsid w:val="EFCE1C9F"/>
    <w:rsid w:val="EFCFAC96"/>
    <w:rsid w:val="EFD6EDB1"/>
    <w:rsid w:val="EFDDEBCB"/>
    <w:rsid w:val="EFDEF1C9"/>
    <w:rsid w:val="EFF5DA29"/>
    <w:rsid w:val="EFF658BD"/>
    <w:rsid w:val="EFFAB94E"/>
    <w:rsid w:val="EFFD3FAA"/>
    <w:rsid w:val="EFFF1ED0"/>
    <w:rsid w:val="F1AB0097"/>
    <w:rsid w:val="F1FFFB1A"/>
    <w:rsid w:val="F25F8786"/>
    <w:rsid w:val="F2ED6590"/>
    <w:rsid w:val="F3FBE122"/>
    <w:rsid w:val="F3FF8758"/>
    <w:rsid w:val="F3FF8BA2"/>
    <w:rsid w:val="F3FF9983"/>
    <w:rsid w:val="F4EFFB0F"/>
    <w:rsid w:val="F5E662D0"/>
    <w:rsid w:val="F66DA08A"/>
    <w:rsid w:val="F6BF21B5"/>
    <w:rsid w:val="F6D71096"/>
    <w:rsid w:val="F6F53DD7"/>
    <w:rsid w:val="F6F739B3"/>
    <w:rsid w:val="F72AC5AB"/>
    <w:rsid w:val="F7791418"/>
    <w:rsid w:val="F7BEF023"/>
    <w:rsid w:val="F7D21A6B"/>
    <w:rsid w:val="F7E64FD1"/>
    <w:rsid w:val="F7EE4A71"/>
    <w:rsid w:val="F7F83DE2"/>
    <w:rsid w:val="F7FC6595"/>
    <w:rsid w:val="F7FD09D3"/>
    <w:rsid w:val="F7FF7ED1"/>
    <w:rsid w:val="F7FFB089"/>
    <w:rsid w:val="F98FC63F"/>
    <w:rsid w:val="F9EF198E"/>
    <w:rsid w:val="F9F50AAD"/>
    <w:rsid w:val="FA7F2390"/>
    <w:rsid w:val="FADE713A"/>
    <w:rsid w:val="FADECB71"/>
    <w:rsid w:val="FAEFF553"/>
    <w:rsid w:val="FAF72171"/>
    <w:rsid w:val="FB074BA1"/>
    <w:rsid w:val="FB7D3BC7"/>
    <w:rsid w:val="FB9F4180"/>
    <w:rsid w:val="FBAB74CB"/>
    <w:rsid w:val="FBEB6838"/>
    <w:rsid w:val="FBF89C56"/>
    <w:rsid w:val="FBFBD1FC"/>
    <w:rsid w:val="FBFF4F44"/>
    <w:rsid w:val="FBFFAB9F"/>
    <w:rsid w:val="FC7E3458"/>
    <w:rsid w:val="FCE73303"/>
    <w:rsid w:val="FCFB5046"/>
    <w:rsid w:val="FCFDFD57"/>
    <w:rsid w:val="FCFF35AC"/>
    <w:rsid w:val="FD3F2416"/>
    <w:rsid w:val="FD4558C4"/>
    <w:rsid w:val="FD571AB1"/>
    <w:rsid w:val="FD7F8AE5"/>
    <w:rsid w:val="FD9BC191"/>
    <w:rsid w:val="FDAF12A3"/>
    <w:rsid w:val="FDBBF0D2"/>
    <w:rsid w:val="FDEDFBE2"/>
    <w:rsid w:val="FDFEA2A8"/>
    <w:rsid w:val="FE5E9EB5"/>
    <w:rsid w:val="FE7E75D7"/>
    <w:rsid w:val="FE7F2C98"/>
    <w:rsid w:val="FE7F894B"/>
    <w:rsid w:val="FEAE4287"/>
    <w:rsid w:val="FEBF2E28"/>
    <w:rsid w:val="FEBF971A"/>
    <w:rsid w:val="FEE931BB"/>
    <w:rsid w:val="FEEBA154"/>
    <w:rsid w:val="FEF753F6"/>
    <w:rsid w:val="FEF7C216"/>
    <w:rsid w:val="FEFA29AE"/>
    <w:rsid w:val="FEFE297C"/>
    <w:rsid w:val="FEFF0DD3"/>
    <w:rsid w:val="FEFF168D"/>
    <w:rsid w:val="FF3B2BFB"/>
    <w:rsid w:val="FF4B60BA"/>
    <w:rsid w:val="FF4F6E87"/>
    <w:rsid w:val="FF4FA56F"/>
    <w:rsid w:val="FF5F9C69"/>
    <w:rsid w:val="FF6B4641"/>
    <w:rsid w:val="FF6F1C60"/>
    <w:rsid w:val="FF795744"/>
    <w:rsid w:val="FF7AE0DC"/>
    <w:rsid w:val="FF7DC74A"/>
    <w:rsid w:val="FF7E5767"/>
    <w:rsid w:val="FF7F6946"/>
    <w:rsid w:val="FF7F9155"/>
    <w:rsid w:val="FF7FCDC5"/>
    <w:rsid w:val="FF7FDEFA"/>
    <w:rsid w:val="FF8D3CB6"/>
    <w:rsid w:val="FF8F5BBD"/>
    <w:rsid w:val="FF8F7A6E"/>
    <w:rsid w:val="FF9A5CFB"/>
    <w:rsid w:val="FF9D03CE"/>
    <w:rsid w:val="FFAB5161"/>
    <w:rsid w:val="FFACA89E"/>
    <w:rsid w:val="FFBFEA9E"/>
    <w:rsid w:val="FFC72B84"/>
    <w:rsid w:val="FFD88DC4"/>
    <w:rsid w:val="FFDAEC8D"/>
    <w:rsid w:val="FFDF69CA"/>
    <w:rsid w:val="FFDFEA86"/>
    <w:rsid w:val="FFEB1D27"/>
    <w:rsid w:val="FFEBC782"/>
    <w:rsid w:val="FFEBDF87"/>
    <w:rsid w:val="FFEF1C0D"/>
    <w:rsid w:val="FFEFBD1B"/>
    <w:rsid w:val="FFF3D7D0"/>
    <w:rsid w:val="FFFA124D"/>
    <w:rsid w:val="FFFEB340"/>
    <w:rsid w:val="FFFF0782"/>
    <w:rsid w:val="FFFF3297"/>
    <w:rsid w:val="FFFFB4EB"/>
    <w:rsid w:val="FFFFD855"/>
    <w:rsid w:val="FFFFDE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heme="minorBidi"/>
      <w:kern w:val="2"/>
      <w:sz w:val="32"/>
      <w:szCs w:val="32"/>
      <w:lang w:val="en-US" w:eastAsia="zh-CN" w:bidi="ar-SA"/>
    </w:rPr>
  </w:style>
  <w:style w:type="paragraph" w:styleId="2">
    <w:name w:val="heading 2"/>
    <w:basedOn w:val="1"/>
    <w:next w:val="1"/>
    <w:unhideWhenUsed/>
    <w:qFormat/>
    <w:uiPriority w:val="9"/>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customStyle="1" w:styleId="11">
    <w:name w:val="批注框文本 字符"/>
    <w:basedOn w:val="10"/>
    <w:link w:val="3"/>
    <w:qFormat/>
    <w:uiPriority w:val="0"/>
    <w:rPr>
      <w:rFonts w:eastAsia="方正仿宋_GBK"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NUL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省医保局</Company>
  <Pages>113</Pages>
  <Words>2183</Words>
  <Characters>2303</Characters>
  <Lines>7</Lines>
  <Paragraphs>2</Paragraphs>
  <TotalTime>13</TotalTime>
  <ScaleCrop>false</ScaleCrop>
  <LinksUpToDate>false</LinksUpToDate>
  <CharactersWithSpaces>2351</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2025-08-26T03:11:00Z</dcterms:created>
  <dc:creator>张宏</dc:creator>
  <cp:lastModifiedBy>sugon</cp:lastModifiedBy>
  <cp:lastPrinted>2026-02-25T18:54:00Z</cp:lastPrinted>
  <dcterms:modified xsi:type="dcterms:W3CDTF">2026-02-25T15:38:40Z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B06A8F8F84F9EA4912619E69A0238FFB_43</vt:lpwstr>
  </property>
  <property fmtid="{D5CDD505-2E9C-101B-9397-08002B2CF9AE}" pid="4" name="KSOTemplateDocerSaveRecord">
    <vt:lpwstr>eyJoZGlkIjoiNDgwMDJlOTc0NGJiOWM0OTRhNGZhMzBjMmQ4ODM5YTIifQ==</vt:lpwstr>
  </property>
</Properties>
</file>