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eastAsia" w:ascii="方正小标宋简体" w:hAnsi="方正小标宋简体" w:eastAsia="方正小标宋简体" w:cs="方正小标宋简体"/>
          <w:b w:val="0"/>
          <w:bCs w:val="0"/>
          <w:sz w:val="44"/>
          <w:szCs w:val="44"/>
        </w:rPr>
      </w:pPr>
      <w:bookmarkStart w:id="2" w:name="_GoBack"/>
      <w:r>
        <w:rPr>
          <w:rFonts w:hint="eastAsia" w:ascii="方正小标宋简体" w:hAnsi="方正小标宋简体" w:eastAsia="方正小标宋简体" w:cs="方正小标宋简体"/>
          <w:b w:val="0"/>
          <w:bCs w:val="0"/>
          <w:sz w:val="44"/>
          <w:szCs w:val="44"/>
        </w:rPr>
        <w:t>关于规范整合产科、麻醉等医疗服务价格项目的通知</w:t>
      </w:r>
    </w:p>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征求意见稿）</w:t>
      </w:r>
    </w:p>
    <w:bookmarkEnd w:id="2"/>
    <w:p>
      <w:pPr>
        <w:keepNext w:val="0"/>
        <w:keepLines w:val="0"/>
        <w:pageBreakBefore w:val="0"/>
        <w:widowControl w:val="0"/>
        <w:kinsoku/>
        <w:wordWrap/>
        <w:overflowPunct/>
        <w:topLinePunct w:val="0"/>
        <w:autoSpaceDE w:val="0"/>
        <w:autoSpaceDN/>
        <w:bidi w:val="0"/>
        <w:adjustRightInd/>
        <w:snapToGrid/>
        <w:spacing w:line="63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val="0"/>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各县（区）医疗保障局，九华山风景区社会保障局、发展规划处，市医保中心，市属公立医疗机构：</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安徽省医保局关于规范整合产科、麻醉等医疗服务价格项目的通知》（皖医保发〔2025〕14号）精神，对我市现行产科、麻醉、中医骨伤及特殊疗法类价格项目进行规范整合和价格核定。现就有关事项通知如下：</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一、规范价格项目</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对照国家立项指南，规范整合</w:t>
      </w:r>
      <w:r>
        <w:rPr>
          <w:rFonts w:hint="eastAsia" w:ascii="仿宋_GB2312" w:hAnsi="仿宋_GB2312" w:eastAsia="仿宋_GB2312" w:cs="仿宋_GB2312"/>
          <w:sz w:val="32"/>
          <w:szCs w:val="32"/>
        </w:rPr>
        <w:t>产科类项目30项及修订2个辅助生殖类项目（附件1），麻醉类项目10项（附件2），</w:t>
      </w:r>
      <w:r>
        <w:rPr>
          <w:rFonts w:hint="eastAsia" w:ascii="仿宋_GB2312" w:hAnsi="仿宋_GB2312" w:eastAsia="仿宋_GB2312" w:cs="仿宋_GB2312"/>
          <w:sz w:val="32"/>
          <w:szCs w:val="32"/>
          <w:shd w:val="clear" w:color="auto" w:fill="FFFFFF"/>
        </w:rPr>
        <w:t>中医骨伤类项目9项（附件3），中医特殊疗法类项目6项（附件4）；废止</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胎儿镜检查</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全身麻醉</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小针刀治疗</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shd w:val="clear" w:color="auto" w:fill="FFFFFF"/>
        </w:rPr>
        <w:t>等76个医疗服务价格项目（附件5），整合后项目与我</w:t>
      </w:r>
      <w:r>
        <w:rPr>
          <w:rFonts w:hint="eastAsia" w:ascii="仿宋_GB2312" w:hAnsi="仿宋_GB2312" w:eastAsia="仿宋_GB2312" w:cs="仿宋_GB2312"/>
          <w:sz w:val="32"/>
          <w:szCs w:val="32"/>
          <w:shd w:val="clear" w:color="auto" w:fill="FFFFFF"/>
          <w:lang w:val="en-US" w:eastAsia="zh-CN"/>
        </w:rPr>
        <w:t>市</w:t>
      </w:r>
      <w:r>
        <w:rPr>
          <w:rFonts w:hint="eastAsia" w:ascii="仿宋_GB2312" w:hAnsi="仿宋_GB2312" w:eastAsia="仿宋_GB2312" w:cs="仿宋_GB2312"/>
          <w:sz w:val="32"/>
          <w:szCs w:val="32"/>
          <w:shd w:val="clear" w:color="auto" w:fill="FFFFFF"/>
        </w:rPr>
        <w:t>原项目及《全国医疗服务项目技术规范（2023年版）》的映射关系见附件6</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二、明确医保支付范围</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产前常规检查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等44个价格项目纳入医保支付范围，其中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中医复位内固定术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等31个项目按照甲类管理，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连续镇痛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等13个项目按照乙类管理，项目所标注价格为</w:t>
      </w:r>
      <w:r>
        <w:rPr>
          <w:rFonts w:hint="eastAsia" w:ascii="仿宋_GB2312" w:hAnsi="仿宋_GB2312" w:eastAsia="仿宋_GB2312" w:cs="仿宋_GB2312"/>
          <w:sz w:val="32"/>
          <w:szCs w:val="32"/>
          <w:shd w:val="clear" w:color="auto" w:fill="FFFFFF"/>
        </w:rPr>
        <w:t>全市公立医疗机构最高政府指导价</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胎心监测（远程）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等13个项目不纳入医保支付范围。</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三、有关要求</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jc w:val="left"/>
        <w:textAlignment w:val="auto"/>
        <w:rPr>
          <w:rFonts w:hint="eastAsia" w:ascii="仿宋_GB2312" w:hAnsi="仿宋_GB2312" w:eastAsia="仿宋_GB2312" w:cs="仿宋"/>
          <w:kern w:val="32"/>
          <w:sz w:val="32"/>
          <w:szCs w:val="32"/>
        </w:rPr>
      </w:pPr>
      <w:r>
        <w:rPr>
          <w:rFonts w:hint="eastAsia" w:ascii="仿宋_GB2312" w:hAnsi="仿宋_GB2312" w:eastAsia="仿宋_GB2312" w:cs="仿宋"/>
          <w:kern w:val="32"/>
          <w:sz w:val="32"/>
          <w:szCs w:val="32"/>
        </w:rPr>
        <w:t>（</w:t>
      </w:r>
      <w:r>
        <w:rPr>
          <w:rFonts w:hint="eastAsia" w:ascii="仿宋_GB2312" w:hAnsi="仿宋_GB2312" w:eastAsia="仿宋_GB2312" w:cs="仿宋"/>
          <w:kern w:val="32"/>
          <w:sz w:val="32"/>
          <w:szCs w:val="32"/>
          <w:lang w:eastAsia="zh-CN"/>
        </w:rPr>
        <w:t>一</w:t>
      </w:r>
      <w:r>
        <w:rPr>
          <w:rFonts w:hint="eastAsia" w:ascii="仿宋_GB2312" w:hAnsi="仿宋_GB2312" w:eastAsia="仿宋_GB2312" w:cs="仿宋"/>
          <w:kern w:val="32"/>
          <w:sz w:val="32"/>
          <w:szCs w:val="32"/>
        </w:rPr>
        <w:t>）</w:t>
      </w:r>
      <w:bookmarkStart w:id="0" w:name="OLE_LINK82"/>
      <w:r>
        <w:rPr>
          <w:rFonts w:hint="eastAsia" w:ascii="仿宋_GB2312" w:hAnsi="仿宋_GB2312" w:eastAsia="仿宋_GB2312" w:cs="仿宋"/>
          <w:kern w:val="32"/>
          <w:sz w:val="32"/>
          <w:szCs w:val="32"/>
        </w:rPr>
        <w:t>各有关单位要高度重视，做好部门协调，及时维护信息系统目录，指导各医疗机构做好政策落地实施。</w:t>
      </w:r>
      <w:bookmarkEnd w:id="0"/>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各医疗机构严格执行整合后的医疗服务价格项目，严格按照价格政策规定和临床诊疗规范向患者提供服务并收取费用，严格规范医疗服务价格行为，认真做好医疗服务项目价格公示和政策解读，落实好住院费用清单、明码标价等相关规定，自觉接受社会监督。</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（三）本通知自2025年10月13日起执行。各医疗机构于2025年10月12日24时前完成整合前项目费用上传工作。执行中遇到问题，及时向</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医保局反馈。</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eastAsia="仿宋" w:cs="Times New Roman"/>
        </w:rPr>
      </w:pPr>
      <w:r>
        <w:rPr>
          <w:rFonts w:eastAsia="仿宋" w:cs="Times New Roman"/>
        </w:rPr>
        <w:t xml:space="preserve"> </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附件：1</w:t>
      </w:r>
      <w:r>
        <w:rPr>
          <w:rFonts w:hint="eastAsia" w:ascii="仿宋_GB2312" w:hAnsi="仿宋_GB2312" w:eastAsia="仿宋_GB2312" w:cs="仿宋_GB2312"/>
          <w:lang w:eastAsia="zh-CN"/>
        </w:rPr>
        <w:t>．</w:t>
      </w:r>
      <w:r>
        <w:rPr>
          <w:rFonts w:hint="eastAsia" w:ascii="仿宋_GB2312" w:hAnsi="仿宋_GB2312" w:eastAsia="仿宋_GB2312" w:cs="仿宋_GB2312"/>
        </w:rPr>
        <w:t xml:space="preserve">整合后产科类医疗服务价格项目表     </w:t>
      </w:r>
    </w:p>
    <w:p>
      <w:pPr>
        <w:keepNext w:val="0"/>
        <w:keepLines w:val="0"/>
        <w:pageBreakBefore w:val="0"/>
        <w:widowControl w:val="0"/>
        <w:kinsoku/>
        <w:wordWrap/>
        <w:overflowPunct/>
        <w:topLinePunct w:val="0"/>
        <w:autoSpaceDE w:val="0"/>
        <w:autoSpaceDN/>
        <w:bidi w:val="0"/>
        <w:adjustRightInd/>
        <w:snapToGrid/>
        <w:spacing w:line="560" w:lineRule="exact"/>
        <w:ind w:firstLine="1600" w:firstLineChars="500"/>
        <w:textAlignment w:val="auto"/>
        <w:rPr>
          <w:rFonts w:hint="eastAsia" w:ascii="仿宋_GB2312" w:hAnsi="仿宋_GB2312" w:eastAsia="仿宋_GB2312" w:cs="仿宋_GB2312"/>
        </w:rPr>
      </w:pPr>
      <w:r>
        <w:rPr>
          <w:rFonts w:hint="eastAsia" w:ascii="仿宋_GB2312" w:hAnsi="仿宋_GB2312" w:eastAsia="仿宋_GB2312" w:cs="仿宋_GB2312"/>
        </w:rPr>
        <w:t>2</w:t>
      </w:r>
      <w:r>
        <w:rPr>
          <w:rFonts w:hint="eastAsia" w:ascii="仿宋_GB2312" w:hAnsi="仿宋_GB2312" w:eastAsia="仿宋_GB2312" w:cs="仿宋_GB2312"/>
          <w:lang w:eastAsia="zh-CN"/>
        </w:rPr>
        <w:t>．</w:t>
      </w:r>
      <w:r>
        <w:rPr>
          <w:rFonts w:hint="eastAsia" w:ascii="仿宋_GB2312" w:hAnsi="仿宋_GB2312" w:eastAsia="仿宋_GB2312" w:cs="仿宋_GB2312"/>
        </w:rPr>
        <w:t xml:space="preserve">整合后麻醉类医疗服务价格项目表            </w:t>
      </w:r>
    </w:p>
    <w:p>
      <w:pPr>
        <w:keepNext w:val="0"/>
        <w:keepLines w:val="0"/>
        <w:pageBreakBefore w:val="0"/>
        <w:widowControl w:val="0"/>
        <w:kinsoku/>
        <w:wordWrap/>
        <w:overflowPunct/>
        <w:topLinePunct w:val="0"/>
        <w:autoSpaceDE w:val="0"/>
        <w:autoSpaceDN/>
        <w:bidi w:val="0"/>
        <w:adjustRightInd/>
        <w:snapToGrid/>
        <w:spacing w:line="560" w:lineRule="exact"/>
        <w:ind w:firstLine="1600" w:firstLineChars="500"/>
        <w:textAlignment w:val="auto"/>
        <w:rPr>
          <w:rFonts w:hint="eastAsia" w:ascii="仿宋_GB2312" w:hAnsi="仿宋_GB2312" w:eastAsia="仿宋_GB2312" w:cs="仿宋_GB2312"/>
        </w:rPr>
      </w:pPr>
      <w:r>
        <w:rPr>
          <w:rFonts w:hint="eastAsia" w:ascii="仿宋_GB2312" w:hAnsi="仿宋_GB2312" w:eastAsia="仿宋_GB2312" w:cs="仿宋_GB2312"/>
        </w:rPr>
        <w:t>3</w:t>
      </w:r>
      <w:r>
        <w:rPr>
          <w:rFonts w:hint="eastAsia" w:ascii="仿宋_GB2312" w:hAnsi="仿宋_GB2312" w:eastAsia="仿宋_GB2312" w:cs="仿宋_GB2312"/>
          <w:lang w:eastAsia="zh-CN"/>
        </w:rPr>
        <w:t>．</w:t>
      </w:r>
      <w:r>
        <w:rPr>
          <w:rFonts w:hint="eastAsia" w:ascii="仿宋_GB2312" w:hAnsi="仿宋_GB2312" w:eastAsia="仿宋_GB2312" w:cs="仿宋_GB2312"/>
        </w:rPr>
        <w:t>整合后中医骨伤类医疗服务价格项目表</w:t>
      </w:r>
    </w:p>
    <w:p>
      <w:pPr>
        <w:keepNext w:val="0"/>
        <w:keepLines w:val="0"/>
        <w:pageBreakBefore w:val="0"/>
        <w:widowControl w:val="0"/>
        <w:kinsoku/>
        <w:wordWrap/>
        <w:overflowPunct/>
        <w:topLinePunct w:val="0"/>
        <w:autoSpaceDE w:val="0"/>
        <w:autoSpaceDN/>
        <w:bidi w:val="0"/>
        <w:adjustRightInd/>
        <w:snapToGrid/>
        <w:spacing w:line="560" w:lineRule="exact"/>
        <w:ind w:firstLine="1600" w:firstLineChars="500"/>
        <w:textAlignment w:val="auto"/>
        <w:rPr>
          <w:rFonts w:hint="eastAsia" w:ascii="仿宋_GB2312" w:hAnsi="仿宋_GB2312" w:eastAsia="仿宋_GB2312" w:cs="仿宋_GB2312"/>
        </w:rPr>
      </w:pPr>
      <w:r>
        <w:rPr>
          <w:rFonts w:hint="eastAsia" w:ascii="仿宋_GB2312" w:hAnsi="仿宋_GB2312" w:eastAsia="仿宋_GB2312" w:cs="仿宋_GB2312"/>
        </w:rPr>
        <w:t>4</w:t>
      </w:r>
      <w:r>
        <w:rPr>
          <w:rFonts w:hint="eastAsia" w:ascii="仿宋_GB2312" w:hAnsi="仿宋_GB2312" w:eastAsia="仿宋_GB2312" w:cs="仿宋_GB2312"/>
          <w:lang w:eastAsia="zh-CN"/>
        </w:rPr>
        <w:t>．</w:t>
      </w:r>
      <w:r>
        <w:rPr>
          <w:rFonts w:hint="eastAsia" w:ascii="仿宋_GB2312" w:hAnsi="仿宋_GB2312" w:eastAsia="仿宋_GB2312" w:cs="仿宋_GB2312"/>
        </w:rPr>
        <w:t xml:space="preserve">整合后中医特殊疗法类医疗服务价格项目表  </w:t>
      </w:r>
    </w:p>
    <w:p>
      <w:pPr>
        <w:keepNext w:val="0"/>
        <w:keepLines w:val="0"/>
        <w:pageBreakBefore w:val="0"/>
        <w:widowControl w:val="0"/>
        <w:kinsoku/>
        <w:wordWrap/>
        <w:overflowPunct/>
        <w:topLinePunct w:val="0"/>
        <w:autoSpaceDE w:val="0"/>
        <w:autoSpaceDN/>
        <w:bidi w:val="0"/>
        <w:adjustRightInd/>
        <w:snapToGrid/>
        <w:spacing w:line="56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 xml:space="preserve">      5</w:t>
      </w:r>
      <w:r>
        <w:rPr>
          <w:rFonts w:hint="eastAsia" w:ascii="仿宋_GB2312" w:hAnsi="仿宋_GB2312" w:eastAsia="仿宋_GB2312" w:cs="仿宋_GB2312"/>
          <w:lang w:eastAsia="zh-CN"/>
        </w:rPr>
        <w:t>．</w:t>
      </w:r>
      <w:r>
        <w:rPr>
          <w:rFonts w:hint="eastAsia" w:ascii="仿宋_GB2312" w:hAnsi="仿宋_GB2312" w:eastAsia="仿宋_GB2312" w:cs="仿宋_GB2312"/>
        </w:rPr>
        <w:t xml:space="preserve">废止医疗服务价格项目表  </w:t>
      </w:r>
    </w:p>
    <w:p>
      <w:pPr>
        <w:keepNext w:val="0"/>
        <w:keepLines w:val="0"/>
        <w:pageBreakBefore w:val="0"/>
        <w:widowControl w:val="0"/>
        <w:kinsoku/>
        <w:wordWrap/>
        <w:overflowPunct/>
        <w:topLinePunct w:val="0"/>
        <w:autoSpaceDN/>
        <w:bidi w:val="0"/>
        <w:adjustRightInd/>
        <w:snapToGrid/>
        <w:spacing w:line="560" w:lineRule="exact"/>
        <w:ind w:firstLine="1600" w:firstLineChars="500"/>
        <w:textAlignment w:val="auto"/>
        <w:rPr>
          <w:rFonts w:hint="eastAsia" w:ascii="仿宋_GB2312" w:hAnsi="仿宋_GB2312" w:eastAsia="仿宋_GB2312" w:cs="仿宋_GB2312"/>
        </w:rPr>
      </w:pPr>
      <w:r>
        <w:rPr>
          <w:rFonts w:hint="eastAsia" w:ascii="仿宋_GB2312" w:hAnsi="仿宋_GB2312" w:eastAsia="仿宋_GB2312" w:cs="仿宋_GB2312"/>
        </w:rPr>
        <w:t>6</w:t>
      </w:r>
      <w:r>
        <w:rPr>
          <w:rFonts w:hint="eastAsia" w:ascii="仿宋_GB2312" w:hAnsi="仿宋_GB2312" w:eastAsia="仿宋_GB2312" w:cs="仿宋_GB2312"/>
          <w:lang w:eastAsia="zh-CN"/>
        </w:rPr>
        <w:t>．</w:t>
      </w:r>
      <w:r>
        <w:rPr>
          <w:rFonts w:hint="eastAsia" w:ascii="仿宋_GB2312" w:hAnsi="仿宋_GB2312" w:eastAsia="仿宋_GB2312" w:cs="仿宋_GB2312"/>
        </w:rPr>
        <w:t>整合后医疗服务价格项目映射关系表</w:t>
      </w:r>
    </w:p>
    <w:p>
      <w:pPr>
        <w:rPr>
          <w:rFonts w:eastAsia="仿宋_GB2312" w:cs="Times New Roman"/>
        </w:rPr>
      </w:pPr>
    </w:p>
    <w:p>
      <w:pPr>
        <w:keepNext w:val="0"/>
        <w:keepLines w:val="0"/>
        <w:pageBreakBefore w:val="0"/>
        <w:widowControl w:val="0"/>
        <w:kinsoku/>
        <w:wordWrap/>
        <w:overflowPunct/>
        <w:topLinePunct w:val="0"/>
        <w:autoSpaceDE w:val="0"/>
        <w:autoSpaceDN/>
        <w:bidi w:val="0"/>
        <w:adjustRightInd/>
        <w:snapToGrid/>
        <w:spacing w:line="630" w:lineRule="exact"/>
        <w:ind w:firstLine="5120" w:firstLineChars="1600"/>
        <w:jc w:val="righ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池州市</w:t>
      </w:r>
      <w:r>
        <w:rPr>
          <w:rFonts w:hint="eastAsia" w:ascii="仿宋_GB2312" w:hAnsi="仿宋_GB2312" w:eastAsia="仿宋_GB2312" w:cs="仿宋_GB2312"/>
        </w:rPr>
        <w:t>医疗保障局　　　　</w:t>
      </w:r>
    </w:p>
    <w:p>
      <w:pPr>
        <w:keepNext w:val="0"/>
        <w:keepLines w:val="0"/>
        <w:pageBreakBefore w:val="0"/>
        <w:widowControl w:val="0"/>
        <w:kinsoku/>
        <w:wordWrap/>
        <w:overflowPunct/>
        <w:topLinePunct w:val="0"/>
        <w:autoSpaceDE w:val="0"/>
        <w:autoSpaceDN/>
        <w:bidi w:val="0"/>
        <w:adjustRightInd/>
        <w:snapToGrid/>
        <w:spacing w:line="630" w:lineRule="exact"/>
        <w:ind w:firstLine="5440" w:firstLineChars="1700"/>
        <w:jc w:val="right"/>
        <w:textAlignment w:val="auto"/>
        <w:rPr>
          <w:rFonts w:hint="eastAsia" w:ascii="仿宋_GB2312" w:hAnsi="仿宋_GB2312" w:eastAsia="仿宋_GB2312" w:cs="仿宋_GB2312"/>
        </w:rPr>
      </w:pPr>
      <w:r>
        <w:rPr>
          <w:rFonts w:hint="eastAsia" w:ascii="仿宋_GB2312" w:hAnsi="仿宋_GB2312" w:eastAsia="仿宋_GB2312" w:cs="仿宋_GB2312"/>
        </w:rPr>
        <w:t>2025年</w:t>
      </w:r>
      <w:r>
        <w:rPr>
          <w:rFonts w:hint="eastAsia" w:ascii="仿宋_GB2312" w:hAnsi="仿宋_GB2312" w:eastAsia="仿宋_GB2312" w:cs="仿宋_GB2312"/>
          <w:lang w:val="en-US" w:eastAsia="zh-CN"/>
        </w:rPr>
        <w:t xml:space="preserve"> 9 </w:t>
      </w:r>
      <w:r>
        <w:rPr>
          <w:rFonts w:hint="eastAsia" w:ascii="仿宋_GB2312" w:hAnsi="仿宋_GB2312" w:eastAsia="仿宋_GB2312" w:cs="仿宋_GB2312"/>
        </w:rPr>
        <w:t>月</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日　　　　</w:t>
      </w:r>
    </w:p>
    <w:p>
      <w:pPr>
        <w:rPr>
          <w:rFonts w:eastAsia="仿宋_GB2312" w:cs="Times New Roman"/>
        </w:rPr>
        <w:sectPr>
          <w:footerReference r:id="rId3" w:type="default"/>
          <w:footerReference r:id="rId4" w:type="even"/>
          <w:pgSz w:w="11906" w:h="16838"/>
          <w:pgMar w:top="2098" w:right="1502" w:bottom="1984" w:left="1502" w:header="851" w:footer="1701" w:gutter="0"/>
          <w:cols w:space="0" w:num="1"/>
          <w:docGrid w:type="lines" w:linePitch="579" w:charSpace="0"/>
        </w:sect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bCs/>
          <w:kern w:val="2"/>
          <w:sz w:val="32"/>
          <w:szCs w:val="32"/>
        </w:rPr>
      </w:pPr>
      <w:r>
        <w:rPr>
          <w:rFonts w:hint="eastAsia" w:ascii="黑体" w:hAnsi="黑体" w:eastAsia="黑体" w:cs="黑体"/>
          <w:b w:val="0"/>
          <w:bCs w:val="0"/>
          <w:kern w:val="2"/>
          <w:sz w:val="32"/>
          <w:szCs w:val="32"/>
          <w:lang w:val="en-US" w:eastAsia="zh-CN" w:bidi="ar"/>
        </w:rPr>
        <w:t>附件1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jc w:val="center"/>
        <w:textAlignment w:val="auto"/>
        <w:rPr>
          <w:rFonts w:hint="eastAsia" w:ascii="宋体" w:hAnsi="宋体" w:eastAsia="宋体" w:cs="宋体"/>
          <w:b/>
          <w:bCs/>
          <w:kern w:val="2"/>
          <w:sz w:val="44"/>
          <w:szCs w:val="44"/>
          <w:lang w:val="en-US" w:eastAsia="zh-CN" w:bidi="ar"/>
        </w:rPr>
      </w:pPr>
      <w:r>
        <w:rPr>
          <w:rFonts w:hint="eastAsia" w:ascii="宋体" w:hAnsi="宋体" w:eastAsia="宋体" w:cs="宋体"/>
          <w:b/>
          <w:bCs/>
          <w:kern w:val="2"/>
          <w:sz w:val="44"/>
          <w:szCs w:val="44"/>
          <w:lang w:val="en-US" w:eastAsia="zh-CN" w:bidi="ar"/>
        </w:rPr>
        <w:t>整合后产科类医疗服务价格项目表</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bCs/>
          <w:i w:val="0"/>
          <w:iCs w:val="0"/>
          <w:color w:val="000000"/>
          <w:kern w:val="0"/>
          <w:sz w:val="24"/>
          <w:szCs w:val="24"/>
        </w:rPr>
      </w:pPr>
      <w:r>
        <w:rPr>
          <w:rFonts w:hint="eastAsia" w:ascii="仿宋" w:hAnsi="仿宋" w:eastAsia="仿宋" w:cs="仿宋"/>
          <w:b/>
          <w:bCs/>
          <w:i w:val="0"/>
          <w:iCs w:val="0"/>
          <w:color w:val="000000"/>
          <w:kern w:val="0"/>
          <w:sz w:val="24"/>
          <w:szCs w:val="24"/>
          <w:lang w:val="en-US" w:eastAsia="zh-CN" w:bidi="ar"/>
        </w:rPr>
        <w:t xml:space="preserve">使用说明：    </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1.“价格构成”指项目价格应涵盖的各类资源消耗，用于确定计价单元的边界，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2.“加收项”指同一项目以不同方式提供或在不同场景应用时，确有必要制定差异化收费标准而细分的一类子项。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3.“扩展项”指同一项目下以不同方式提供或在不同场景应用时，只扩展价格项目适用范围、不额外加价的一类子项，子项的价格按主项目执行。</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4.“基本物耗”指原则上限于不应或不必要与医疗服务项目分割的易耗品，包括但不限于各类消杀灭菌用品、储存用品、清洁用品、个人防护用品、垃圾处理用品、阴道扩张器、冲洗液、润滑剂、棉球、棉签、纱布（垫）、护（尿）垫、手术巾（单）、治疗巾（单）、中单、治疗护理盘（包）、手术包、注射器、滑石粉、防渗漏垫、标签、可复用的操作器具、冲洗工具。基本物耗成本计入项目价格，不另行收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5.计价单位“胎/次”，指每胎每次。</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6.涉及“复杂”“特殊”等内涵未尽的表述，除表中已明确的情形外，医疗机构实践中按照“特殊”“复杂”情形收费的，应以国家级技术规范、临床指南或专家共识中的明确定性为前提，下同。</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7.涉及“包括……”“……等”的，属于开放型表述，所指对象不仅局限于表述中列明的事项，也包括未列明的同类事项。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lang w:val="en-US" w:eastAsia="zh-CN" w:bidi="ar"/>
        </w:rPr>
      </w:pPr>
      <w:r>
        <w:rPr>
          <w:rFonts w:hint="eastAsia" w:ascii="仿宋" w:hAnsi="仿宋" w:eastAsia="仿宋" w:cs="仿宋"/>
          <w:b w:val="0"/>
          <w:bCs w:val="0"/>
          <w:i w:val="0"/>
          <w:iCs w:val="0"/>
          <w:color w:val="000000"/>
          <w:kern w:val="0"/>
          <w:sz w:val="24"/>
          <w:szCs w:val="24"/>
          <w:lang w:val="en-US" w:eastAsia="zh-CN" w:bidi="ar"/>
        </w:rPr>
        <w:t xml:space="preserve">8.“内镜下辅助操作”指涉及内镜下的辅助操作，包括但不限于腹腔镜、宫腔镜、胎儿镜、羊膜镜等各类内镜，统一按“内镜下辅助操作”加收。   </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exact"/>
        <w:ind w:left="0" w:right="0"/>
        <w:jc w:val="left"/>
        <w:textAlignment w:val="center"/>
        <w:rPr>
          <w:rFonts w:hint="eastAsia" w:ascii="仿宋" w:hAnsi="仿宋" w:eastAsia="仿宋" w:cs="仿宋"/>
          <w:b w:val="0"/>
          <w:bCs w:val="0"/>
          <w:i w:val="0"/>
          <w:iCs w:val="0"/>
          <w:color w:val="000000"/>
          <w:kern w:val="0"/>
          <w:sz w:val="24"/>
          <w:szCs w:val="24"/>
        </w:rPr>
      </w:pPr>
    </w:p>
    <w:p>
      <w:pPr>
        <w:pStyle w:val="2"/>
        <w:rPr>
          <w:rFonts w:hint="eastAsia"/>
        </w:rPr>
      </w:pPr>
    </w:p>
    <w:tbl>
      <w:tblPr>
        <w:tblStyle w:val="7"/>
        <w:tblW w:w="16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64"/>
        <w:gridCol w:w="1741"/>
        <w:gridCol w:w="1377"/>
        <w:gridCol w:w="2265"/>
        <w:gridCol w:w="2972"/>
        <w:gridCol w:w="546"/>
        <w:gridCol w:w="600"/>
        <w:gridCol w:w="682"/>
        <w:gridCol w:w="627"/>
        <w:gridCol w:w="3477"/>
        <w:gridCol w:w="518"/>
        <w:gridCol w:w="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8" w:hRule="atLeast"/>
          <w:tblHeader/>
          <w:jc w:val="center"/>
        </w:trPr>
        <w:tc>
          <w:tcPr>
            <w:tcW w:w="564"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741"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377"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226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972"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4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1909"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3477"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51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682"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9" w:hRule="atLeast"/>
          <w:tblHeader/>
          <w:jc w:val="center"/>
        </w:trPr>
        <w:tc>
          <w:tcPr>
            <w:tcW w:w="564"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741"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377"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26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972"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46"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三级公立医疗机构</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二级公立医疗机构</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一级公立医疗机构</w:t>
            </w:r>
          </w:p>
        </w:tc>
        <w:tc>
          <w:tcPr>
            <w:tcW w:w="3477"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1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82"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013112020010000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产前常规检查</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产前对孕妇进行的规范检查、遗传等咨询解答及有关健康指导。</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所定价格涵盖推算孕周、测量孕妇体重、宫高、腹围、血压及听胎心、孕期触诊，以及判断胎位状态、胎儿是否符合孕周等孕期检查、分娩前评估和健康指导步骤所需的人力资源和基本物质资源消耗。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9.5</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8.6</w:t>
            </w:r>
          </w:p>
        </w:tc>
        <w:tc>
          <w:tcPr>
            <w:tcW w:w="62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8.1</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指在门诊/急诊期间对孕妇进行的常规检查及健康指导；在住院期间对孕/产妇实施价格构成中所列的医疗服务事项，不再单独计费，例如国家卫生健康委制定发布技术规范中所列的“多普勒胎心计数”。</w:t>
            </w: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检查费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013112020020000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胎心监测</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监测胎儿心率及宫缩压力波形实时变化，达到评估胎儿宫内情况的目的。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所定价格涵盖定位、固定探头、监测、出具报告等所需的人力资源和基本物质资源消耗。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19</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17</w:t>
            </w:r>
          </w:p>
        </w:tc>
        <w:tc>
          <w:tcPr>
            <w:tcW w:w="62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16</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监测的时间要求对照国家卫生健康委《全国医疗服务项目技术规范（2023年版）》相关内容。</w:t>
            </w: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检查费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013112020030000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胎心监测（远程）</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远程监测胎儿心率及宫缩压力波形实时变化，达到产妇离院状态下评估胎儿宫内情况的目的。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所定价格涵盖定位、固定探头、监测、出具报告等所需的人力资源和基本物质资源消耗。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日</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29</w:t>
            </w:r>
          </w:p>
        </w:tc>
        <w:tc>
          <w:tcPr>
            <w:tcW w:w="68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26</w:t>
            </w:r>
          </w:p>
        </w:tc>
        <w:tc>
          <w:tcPr>
            <w:tcW w:w="62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25</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检查费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013112020040000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羊膜腔穿刺</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经羊膜腔获取检测样本，用于产前诊断。</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所定价格涵盖定位、消毒、穿刺、取样、观察等羊膜腔穿刺所有必要操作所需人力资源和基本物质资源消耗。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124</w:t>
            </w:r>
          </w:p>
        </w:tc>
        <w:tc>
          <w:tcPr>
            <w:tcW w:w="68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112</w:t>
            </w:r>
          </w:p>
        </w:tc>
        <w:tc>
          <w:tcPr>
            <w:tcW w:w="62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105</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检查费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6"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013112020040001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羊膜腔穿刺-内镜下辅助操作（加收）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经羊膜腔内镜下获取检测样本，用于产前诊断。</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95</w:t>
            </w:r>
          </w:p>
        </w:tc>
        <w:tc>
          <w:tcPr>
            <w:tcW w:w="68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86</w:t>
            </w:r>
          </w:p>
        </w:tc>
        <w:tc>
          <w:tcPr>
            <w:tcW w:w="62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81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检查费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2"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013112020040100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羊膜腔穿刺-羊膜腔穿刺注药（扩展）</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经羊膜腔穿刺注药。</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所定价格涵盖定位、消毒、穿刺、注药、取样、观察等羊膜腔穿刺所有必要操作所需人力资源和基本物质资源消耗。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124</w:t>
            </w:r>
          </w:p>
        </w:tc>
        <w:tc>
          <w:tcPr>
            <w:tcW w:w="68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112</w:t>
            </w:r>
          </w:p>
        </w:tc>
        <w:tc>
          <w:tcPr>
            <w:tcW w:w="62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105</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013112020050000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绒毛取材</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穿刺获取胎盘绒毛样本。</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所定价格涵盖定位、消毒、穿刺、取材等绒毛取材所有必要操作所需的人力资源和基本物质资源消耗。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295</w:t>
            </w:r>
          </w:p>
        </w:tc>
        <w:tc>
          <w:tcPr>
            <w:tcW w:w="68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266</w:t>
            </w:r>
          </w:p>
        </w:tc>
        <w:tc>
          <w:tcPr>
            <w:tcW w:w="62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251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检查费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8"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013112020060000</w:t>
            </w:r>
          </w:p>
        </w:tc>
        <w:tc>
          <w:tcPr>
            <w:tcW w:w="1377"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胎儿内镜检查</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经内镜观察宫内胎儿及胎盘情况。</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所定价格涵盖定位、内镜置入、观察、撤除等，必要时取样等操作所需的人力资源和基本物质资源消耗。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285</w:t>
            </w:r>
          </w:p>
        </w:tc>
        <w:tc>
          <w:tcPr>
            <w:tcW w:w="68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257</w:t>
            </w:r>
          </w:p>
        </w:tc>
        <w:tc>
          <w:tcPr>
            <w:tcW w:w="62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242</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检查费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7</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013112020070000</w:t>
            </w:r>
          </w:p>
        </w:tc>
        <w:tc>
          <w:tcPr>
            <w:tcW w:w="1377"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催引产</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通过各种方式促宫颈成熟，以促发临产。</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所定价格涵盖促宫颈成熟等所有必要操作所需的人力资源和基本物质资源消耗。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日</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130</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117</w:t>
            </w:r>
          </w:p>
        </w:tc>
        <w:tc>
          <w:tcPr>
            <w:tcW w:w="62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111</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指自然日，不足一个自然日按一个自然日计。</w:t>
            </w: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8</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013112020080000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产程管理</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临产后，进入待产室至第二产程前或阴道试产，对产妇的产程进展进行管理。</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所定价格涵盖观察产妇生命体征、宫缩及宫口扩张情况、监测胎心、判断产程进展、记录产程过程，给予相应的安抚、指导，根据需要采取干预措施，必要时行人工破膜等所需的人力资源和基本物质资源消耗。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190</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171</w:t>
            </w:r>
          </w:p>
        </w:tc>
        <w:tc>
          <w:tcPr>
            <w:tcW w:w="62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162</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第二产程是指从宫口开全至胎儿娩出。</w:t>
            </w: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65"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9</w:t>
            </w:r>
          </w:p>
        </w:tc>
        <w:tc>
          <w:tcPr>
            <w:tcW w:w="174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013112020090000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分娩镇痛</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采用麻醉镇痛，以起到减轻产妇分娩过程疼痛，提高分娩质量及舒适度，保证孕产安全的作用。</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所定价格涵盖评估、建立通路、摆放体位、穿刺、置管、剂量验证、观察、注药、监测、装置连接、参数设定、评分、记录、分析病情，必要时调整剂量、撤除装置等所需的人力资源和基本物质资源消耗。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570</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513</w:t>
            </w:r>
          </w:p>
        </w:tc>
        <w:tc>
          <w:tcPr>
            <w:tcW w:w="62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485</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以2小时为基价，超过2小时每增加1小时加收90元。</w:t>
            </w: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10</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013112020100000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导乐分娩</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由专业人员给予孕妇导乐相关知识讲解及陪伴，进行合理用力及分娩配合指导。</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应用呼吸减痛、分娩球、腰骶按摩、自由</w:t>
            </w:r>
            <w:r>
              <w:rPr>
                <w:rFonts w:hint="eastAsia" w:ascii="宋体" w:hAnsi="宋体" w:eastAsia="宋体" w:cs="宋体"/>
                <w:b w:val="0"/>
                <w:bCs w:val="0"/>
                <w:i w:val="0"/>
                <w:iCs w:val="0"/>
                <w:color w:val="000000"/>
                <w:spacing w:val="-6"/>
                <w:kern w:val="0"/>
                <w:sz w:val="20"/>
                <w:szCs w:val="20"/>
                <w:lang w:val="en-US" w:eastAsia="zh-CN" w:bidi="ar"/>
              </w:rPr>
              <w:t>体位等非药物方法减轻分娩疼痛、协助产程进展，给予产妇生活照护和陪伴，在导乐过程中随时观察产程进展等所需的人力资源和基本物质资源消耗。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kern w:val="0"/>
                <w:sz w:val="22"/>
                <w:szCs w:val="22"/>
                <w:lang w:val="en-US" w:eastAsia="zh-CN" w:bidi="ar"/>
              </w:rPr>
              <w:t>自主定价</w:t>
            </w:r>
          </w:p>
        </w:tc>
        <w:tc>
          <w:tcPr>
            <w:tcW w:w="68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kern w:val="0"/>
                <w:sz w:val="22"/>
                <w:szCs w:val="22"/>
                <w:lang w:val="en-US" w:eastAsia="zh-CN" w:bidi="ar"/>
              </w:rPr>
              <w:t>自主定价</w:t>
            </w:r>
          </w:p>
        </w:tc>
        <w:tc>
          <w:tcPr>
            <w:tcW w:w="62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kern w:val="0"/>
                <w:sz w:val="22"/>
                <w:szCs w:val="22"/>
                <w:lang w:val="en-US" w:eastAsia="zh-CN" w:bidi="ar"/>
              </w:rPr>
              <w:t>自主定价</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1"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11</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013112020110000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亲情陪产</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产妇在孕产过程中，由医务人员指导家属进入产房陪同孕产，直至胎儿娩出。</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陪产过程中所需的基本物质资源消耗。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kern w:val="0"/>
                <w:sz w:val="22"/>
                <w:szCs w:val="22"/>
                <w:lang w:val="en-US" w:eastAsia="zh-CN" w:bidi="ar"/>
              </w:rPr>
              <w:t>自主定价</w:t>
            </w:r>
          </w:p>
        </w:tc>
        <w:tc>
          <w:tcPr>
            <w:tcW w:w="68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kern w:val="0"/>
                <w:sz w:val="22"/>
                <w:szCs w:val="22"/>
                <w:lang w:val="en-US" w:eastAsia="zh-CN" w:bidi="ar"/>
              </w:rPr>
              <w:t>自主定价</w:t>
            </w:r>
          </w:p>
        </w:tc>
        <w:tc>
          <w:tcPr>
            <w:tcW w:w="62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kern w:val="0"/>
                <w:sz w:val="22"/>
                <w:szCs w:val="22"/>
                <w:lang w:val="en-US" w:eastAsia="zh-CN" w:bidi="ar"/>
              </w:rPr>
              <w:t>自主定价</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12</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013112020120000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胎儿外倒转</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纠正异常胎位（臀位、横位）,创造顺产条件。</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所定价格涵盖评估、胎位矫正、包扎固定、术后孕妇观察等胎儿外倒转所有必要操作所需的人力资源和基本物质资源消耗。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190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171</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162</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90"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13</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013112020130000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产时宫外治疗</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在生产过程中对有呼吸道梗阻和胸部疾病的胎儿进行处理，达到安全生产的目的。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所定价格涵盖消毒、气管插管/气管切开、采取措施避免胎盘过早剥离、胎儿手术等必要操作所需的人力资源和基本物质资源消耗。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950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855</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808</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14</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013112020140000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胎儿宫内输血</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在宫腔内对胎儿进行输血治疗。</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所定价格涵盖穿刺、抽血、输血等胎儿宫内输血所有必要操作所需的人力资源和基本物质资源消耗。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950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855</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808</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95"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15</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013112020150000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胎盘血管交通支凝固治疗</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在宫腔内利用各种能量源对胎儿的胎盘血管交通支进行凝固治疗。</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所定价格涵盖穿刺、内镜置入、观察、凝结胎盘血管交通支、撤除等胎盘血管交通支凝固治疗所有必要操作所需的人力资源和基本物质资源消耗。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2850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2565</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2423</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013112020150001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胎盘血管交通支凝固治疗--内镜下辅助操作（加收）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在宫腔内利用各种能量源对胎儿的胎盘血管交通支进行内镜下凝固治疗。</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95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86</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16</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013112020160000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羊水调节</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经羊膜腔穿刺对羊水进行抽吸、引流、灌注、置换，达到维持胎儿生长环境稳定的目的。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所定价格涵盖定位、消毒、穿刺、抽吸/灌注、放置引流管等羊水调节所有必要操作所需人力资源和基本物质资源消耗。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342</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308</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291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013112020160001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羊水调节-内镜下辅助操作（加收）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经羊膜腔穿刺内镜下对羊水进行抽吸、引流、灌注、置换，达到维持胎儿生长环境稳定的目的。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95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86</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17</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013112020170000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子宫压迫止血</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经药物等保守治疗无效，需要压迫止血，达到止血目的。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所定价格涵盖扩张宫口、探查宫腔并清宫、填塞宫腔或缝合、压迫止血，必要时材料取出等所需的人力资源和基本物质资源消耗。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125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113</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106</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18</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013112020180000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脐静脉穿刺</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经羊膜腔获取胎儿脐静脉血。</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所定价格涵盖定位、消毒、穿刺、抽血等脐静脉穿刺所有必要操作所需的人力资源和基本物质资源消耗。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124</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112</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105</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8"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19</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013112020190000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药物减胎</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因孕妇要求或医学指征，通过药物终止多胎妊娠中某一或两个（及以上）胎儿的发育。</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所定价格涵盖消毒、穿刺、注药等药物减胎所有必要操作所需的人力资源和基本物质资源消耗。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891</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802</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757</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20</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013112020200000</w:t>
            </w:r>
          </w:p>
        </w:tc>
        <w:tc>
          <w:tcPr>
            <w:tcW w:w="1377"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中期引产</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孕中期通过药物等方式终止胎儿发育，促宫颈成熟达到临产状态。</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所定价格涵盖消毒、促宫颈成熟、胎儿处理等中期引产所有必要操作所需的人力资源和基本物质资源消耗。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165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149</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140</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适用于孕期“14周-27周+6”孕周。</w:t>
            </w: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21</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013112020210000</w:t>
            </w:r>
          </w:p>
        </w:tc>
        <w:tc>
          <w:tcPr>
            <w:tcW w:w="1377"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晚期引产</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孕晚期通过药物等方式终止胎儿发育，促宫颈成熟达到临产状态。</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所定价格涵盖消毒、促宫颈成熟、胎儿处理等晚期引产所有必要操作所需的人力资源和基本物质资源消耗。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165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149</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140</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适用于孕期超过“27周+6”孕周。</w:t>
            </w: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22</w:t>
            </w:r>
          </w:p>
        </w:tc>
        <w:tc>
          <w:tcPr>
            <w:tcW w:w="174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013112020220000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死胎接生</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死胎娩出及处理全过程，不含尸体处理。</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所定价格涵盖消毒、协助娩出、胎盘处置，必要时使用器械助产等死胎接生所有必要操作所需的人力资源和基本物质资源消耗。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460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414</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391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15"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23</w:t>
            </w:r>
          </w:p>
        </w:tc>
        <w:tc>
          <w:tcPr>
            <w:tcW w:w="174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013314000010000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阴道分娩（常规）</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阴道分娩接生及新生儿处理的全过程处置。</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自第二产程开始至第四产程结束期间常规经阴道分娩的全过程和必要操作，包括对产妇的密切观察、生产指导、干预措施，协助胎儿娩出、胎盘娩出，对脐带、胎盘、胎膜的检查处理，对产道的检查、会阴侧切、缝合及裂伤修补（1-2度），母婴观察、处理、评分及记录等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808</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727</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b w:val="0"/>
                <w:bCs w:val="0"/>
                <w:i w:val="0"/>
                <w:iCs w:val="0"/>
                <w:color w:val="000000"/>
                <w:kern w:val="2"/>
                <w:sz w:val="20"/>
                <w:szCs w:val="20"/>
                <w:lang w:val="en-US" w:eastAsia="zh-CN"/>
              </w:rPr>
              <w:t>687</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9"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013314000010001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阴道分娩（常规）-会阴裂伤修补（限3-4度）（加收）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阴道分娩接生及新生儿处理的全过程处置，并行会阴裂伤修补（限3-4度）。</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385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347</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327</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4"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013314000010002</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阴道分娩（常规）-宫颈裂伤修补（加收）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阴道分娩接生及新生儿处理的全过程处置，并行宫颈裂伤修补。</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193</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174</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164</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79"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24</w:t>
            </w:r>
          </w:p>
        </w:tc>
        <w:tc>
          <w:tcPr>
            <w:tcW w:w="174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013314000020000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阴道分娩（复杂）</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产妇或胎儿存在情况复杂、风险较高等情况，经阴道分娩接生及新生儿处理的全过程处置。</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自第二产程开始至第四产程结束期间复杂情况经阴道分娩的全过程和必要操作，包括对产妇的密切观察、生产指导、干预措施，协助胎儿娩出、胎盘娩出，对脐带、胎盘、胎膜的检查处理，对产道的检查、会阴侧切、缝合及裂伤修补（1-2度），母婴观察、处理、评分及记录等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1520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1368</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1292</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复杂）”是指：产妇或胎儿存在瘢痕子宫、巨大儿、胎儿臀位、肩难产等显著增加阴道分娩难度及风险的情况，或生产过程中医务人员采用胎位旋转、臀位助产、器械助产、手取胎盘等特殊措施的情况。</w:t>
            </w: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58"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013314000020001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阴道分娩（复杂）-会阴裂伤修补（限3-4度）（加收）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产妇或胎儿存在情况复杂、风险较高等情况，经阴道分娩接生及新生儿处理的全过程处置，并行会阴裂伤修补（限3-4度）。</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385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347</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327</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013314000020002</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阴道分娩（复杂）-宫颈裂伤修补（加收）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产妇或胎儿存在情况复杂、风险较高等情况，经阴道分娩接生及新生儿处理的全过程处置，并行宫颈裂伤修补。</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193</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174</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164</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19"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25</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013314000030000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剖宫产（常规）</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产妇难产或不适于阴道分娩，通过手术方式分娩接生及新生儿处理的全过程处置。</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常规情况通过手术娩出胎儿的全过程和必要操作，包括切开子宫、娩出胎儿、胎盘处理、清理缝合、止血包扎处理等手术全过程，新生儿的观察、处理、评分及记录等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1330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1197</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1131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53"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013314000030001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剖宫产（常规）-阴道分娩转剖宫产（加收）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spacing w:val="-6"/>
                <w:kern w:val="0"/>
                <w:sz w:val="20"/>
                <w:szCs w:val="20"/>
                <w:lang w:val="en-US" w:eastAsia="zh-CN" w:bidi="ar"/>
              </w:rPr>
              <w:t>产妇难产或不适于阴道分娩，阴道分娩转剖宫产，通过手术方式分娩接生及新生儿处理的全过程处置。</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190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171</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162</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96"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26</w:t>
            </w:r>
          </w:p>
        </w:tc>
        <w:tc>
          <w:tcPr>
            <w:tcW w:w="174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013314000040000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剖宫产（复杂）</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产妇难产或不适于阴道分娩，且产妇或胎儿存在情况复杂、风险较高等情况，通过手术方式分娩接生及新生儿处理的全过程处置。</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复杂情况通过手术娩出胎儿的全过程和必要操作，包括切开子宫、娩出胎儿、胎盘处理、清理缝合、止血包扎处理等手术全过程，新生儿的观察、处理、评分及记录等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1710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1539</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1454</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“剖</w:t>
            </w:r>
            <w:r>
              <w:rPr>
                <w:rFonts w:hint="eastAsia" w:ascii="宋体" w:hAnsi="宋体" w:eastAsia="宋体" w:cs="宋体"/>
                <w:b w:val="0"/>
                <w:bCs w:val="0"/>
                <w:i w:val="0"/>
                <w:iCs w:val="0"/>
                <w:snapToGrid w:val="0"/>
                <w:color w:val="000000"/>
                <w:spacing w:val="-6"/>
                <w:kern w:val="0"/>
                <w:sz w:val="20"/>
                <w:szCs w:val="20"/>
                <w:lang w:val="en-US" w:eastAsia="zh-CN" w:bidi="ar"/>
              </w:rPr>
              <w:t>宫产（复杂）”是指：产妇或胎儿存在前置胎盘、胎盘植入、凝血功能异常、子宫肌瘤（4-5cm以上）、瘢痕子宫、胎儿横位、胎儿臀位、产程中剖宫产、腹膜外妊娠等显著增加剖宫产实施难度及风险的情况。</w:t>
            </w: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013314000040001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剖宫产（复杂）-阴道分娩转剖宫产（加收）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产妇难产或不适于阴道分娩，阴道分娩转剖宫产，且产妇或胎儿存在情况复杂、风险较高等情况，通过手术方式分娩接生及新生儿处理的全过程处置。</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190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171</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162</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27</w:t>
            </w:r>
          </w:p>
        </w:tc>
        <w:tc>
          <w:tcPr>
            <w:tcW w:w="174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013314000050000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宫颈环扎术（常规）</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对宫颈机能不全的治疗，达到延长孕周，维持胎儿存活目的。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w:t>
            </w:r>
            <w:r>
              <w:rPr>
                <w:rFonts w:hint="eastAsia" w:ascii="宋体" w:hAnsi="宋体" w:eastAsia="宋体" w:cs="宋体"/>
                <w:b w:val="0"/>
                <w:bCs w:val="0"/>
                <w:i w:val="0"/>
                <w:iCs w:val="0"/>
                <w:color w:val="000000"/>
                <w:spacing w:val="-6"/>
                <w:kern w:val="0"/>
                <w:sz w:val="20"/>
                <w:szCs w:val="20"/>
                <w:lang w:val="en-US" w:eastAsia="zh-CN" w:bidi="ar"/>
              </w:rPr>
              <w:t>定价格涵盖消毒、宫颈固定、缝合、拆线，必要时胎膜复位等宫颈环扎术所有必要操作所需的人力资源和基本物质资源消耗。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446</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401</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379</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013314000050001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宫颈环扎术（常规）-内镜下辅助操作（加收）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对宫颈机能不全的内镜下治疗，达到延长孕周，维持胎儿存活目的。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95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86</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28</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013314000060000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宫颈环扎术（特殊）</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对宫口扩张3cm以上等特殊情况的紧急环扎治疗，达到延长孕周，维持胎儿存活目的。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所定价格涵盖消毒、宫颈固定、缝合、拆线，必要时胎膜复位等宫颈环扎术所有必要操作所需的人力资源和基本物质资源消耗。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891</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802</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757</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013314000060001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宫颈环扎术（特殊）-内镜下辅助操作（加收）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对宫口扩张3cm以上等特殊情况的紧急环扎内镜下治疗，达到延长孕周，维持胎儿存活目的。</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95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86</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02"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29</w:t>
            </w:r>
          </w:p>
        </w:tc>
        <w:tc>
          <w:tcPr>
            <w:tcW w:w="174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013314000070000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院外分娩产后处置</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产妇于院外娩出胎儿后，在院内对产妇和新生儿进行的产后处理。</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所定价格涵盖第三产程开始的脐带和胎盘处理，会阴裂伤修补（1-2度）、侧切及缝合、胎儿娩出后母婴观察等院外分娩产后处置所有必要操作所需的人力资源和基本物质资源消耗。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295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266</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251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013314000070001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院外分娩产后处置-会阴裂伤修补（限3-4度）（加收）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产妇于院外娩出胎儿后，在院内对产妇和新生儿进行的产后处理，并行会阴裂伤修补（限3-4度）。</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385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347</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327</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013314000070002</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院外分娩产后处置-宫颈裂伤修补（加收）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产妇于院外娩出胎儿后，在院内对产妇和新生儿进行的产后处理，并行宫颈裂伤修补。</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193</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174</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164</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48" w:hRule="atLeast"/>
          <w:jc w:val="center"/>
        </w:trPr>
        <w:tc>
          <w:tcPr>
            <w:tcW w:w="564"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30</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013314000080000</w:t>
            </w:r>
          </w:p>
        </w:tc>
        <w:tc>
          <w:tcPr>
            <w:tcW w:w="1377"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手术减胎</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因孕妇要求或医学指征，通过手术终止多胎妊娠中某一或两个（及以上）胎儿的发育。</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所定价格涵盖消毒、确认位置、穿刺、使用电凝、激光、射频等各种方式进行减胎所需的人力资源和基本物质资源消耗。</w:t>
            </w:r>
          </w:p>
        </w:tc>
        <w:tc>
          <w:tcPr>
            <w:tcW w:w="54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1805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1625</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1534</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51" w:hRule="atLeast"/>
          <w:jc w:val="center"/>
        </w:trPr>
        <w:tc>
          <w:tcPr>
            <w:tcW w:w="564"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013314000080001</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手术减胎-内镜下辅助操作（加收）</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因孕妇要求或医学指征，通过内镜下手术终止多胎妊娠中某一或两个（及以上）胎儿的发育。</w:t>
            </w:r>
          </w:p>
        </w:tc>
        <w:tc>
          <w:tcPr>
            <w:tcW w:w="29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胎/次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95</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86</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i w:val="0"/>
                <w:iCs w:val="0"/>
                <w:color w:val="000000"/>
                <w:kern w:val="0"/>
                <w:sz w:val="22"/>
                <w:szCs w:val="22"/>
                <w:u w:val="none"/>
                <w:lang w:val="en-US" w:eastAsia="zh-CN" w:bidi="ar"/>
              </w:rPr>
              <w:t>81</w:t>
            </w:r>
          </w:p>
        </w:tc>
        <w:tc>
          <w:tcPr>
            <w:tcW w:w="3477"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000000"/>
                <w:kern w:val="2"/>
                <w:sz w:val="20"/>
                <w:szCs w:val="20"/>
              </w:rPr>
            </w:pP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31</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013112010030000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组织/体液/细胞冷冻(辅助生殖)</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将辅助生殖相关组织、体液、细胞进行冷冻。</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所定价格涵盖将辅助生殖相关组织、体液、细胞转移至冷冻载体，冷冻及解冻复苏过程中的人力资源和基本物质消耗。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管·次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pacing w:val="-6"/>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1140</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pacing w:val="-6"/>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1026</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pacing w:val="-6"/>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969</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宋体" w:hAnsi="宋体" w:eastAsia="宋体" w:cs="宋体"/>
                <w:b w:val="0"/>
                <w:bCs w:val="0"/>
                <w:i w:val="0"/>
                <w:iCs w:val="0"/>
                <w:color w:val="000000"/>
                <w:spacing w:val="-6"/>
                <w:kern w:val="2"/>
                <w:sz w:val="20"/>
                <w:szCs w:val="20"/>
              </w:rPr>
            </w:pPr>
            <w:r>
              <w:rPr>
                <w:rFonts w:hint="eastAsia" w:ascii="宋体" w:hAnsi="宋体" w:eastAsia="宋体" w:cs="宋体"/>
                <w:b w:val="0"/>
                <w:bCs w:val="0"/>
                <w:i w:val="0"/>
                <w:iCs w:val="0"/>
                <w:color w:val="000000"/>
                <w:spacing w:val="-6"/>
                <w:kern w:val="0"/>
                <w:sz w:val="20"/>
                <w:szCs w:val="20"/>
                <w:lang w:val="en-US" w:eastAsia="zh-CN" w:bidi="ar"/>
              </w:rPr>
              <w:t>价格含冷冻当天起保存2个月的费用，不足2月按2月计费。冻存结束前只收取一次。第2管开始每管按60%收取，最高收费不超过4080元。</w:t>
            </w: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32</w:t>
            </w:r>
          </w:p>
        </w:tc>
        <w:tc>
          <w:tcPr>
            <w:tcW w:w="174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013112010040000</w:t>
            </w:r>
          </w:p>
        </w:tc>
        <w:tc>
          <w:tcPr>
            <w:tcW w:w="13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组织/体液/细胞冷冻续存(辅助生殖)</w:t>
            </w:r>
          </w:p>
        </w:tc>
        <w:tc>
          <w:tcPr>
            <w:tcW w:w="226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将冷冻后的辅助生殖相关组织、体液、细胞持续冻存。</w:t>
            </w:r>
          </w:p>
        </w:tc>
        <w:tc>
          <w:tcPr>
            <w:tcW w:w="29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所定价格涵盖将冷冻后的辅助生殖相关组织、体液、细胞持续冻存至解冻复苏前或约定截止保存时间，期间的人力资源和基本物质消耗。</w:t>
            </w:r>
          </w:p>
        </w:tc>
        <w:tc>
          <w:tcPr>
            <w:tcW w:w="54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管·月</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pacing w:val="-6"/>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76</w:t>
            </w:r>
          </w:p>
        </w:tc>
        <w:tc>
          <w:tcPr>
            <w:tcW w:w="68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pacing w:val="-6"/>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68</w:t>
            </w:r>
          </w:p>
        </w:tc>
        <w:tc>
          <w:tcPr>
            <w:tcW w:w="627"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pacing w:val="-6"/>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65</w:t>
            </w:r>
          </w:p>
        </w:tc>
        <w:tc>
          <w:tcPr>
            <w:tcW w:w="347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宋体" w:hAnsi="宋体" w:eastAsia="宋体" w:cs="宋体"/>
                <w:b w:val="0"/>
                <w:bCs w:val="0"/>
                <w:i w:val="0"/>
                <w:iCs w:val="0"/>
                <w:color w:val="000000"/>
                <w:spacing w:val="-6"/>
                <w:kern w:val="2"/>
                <w:sz w:val="20"/>
                <w:szCs w:val="20"/>
              </w:rPr>
            </w:pPr>
            <w:r>
              <w:rPr>
                <w:rFonts w:hint="eastAsia" w:ascii="宋体" w:hAnsi="宋体" w:eastAsia="宋体" w:cs="宋体"/>
                <w:b w:val="0"/>
                <w:bCs w:val="0"/>
                <w:i w:val="0"/>
                <w:iCs w:val="0"/>
                <w:color w:val="000000"/>
                <w:spacing w:val="-6"/>
                <w:kern w:val="0"/>
                <w:sz w:val="20"/>
                <w:szCs w:val="20"/>
                <w:lang w:val="en-US" w:eastAsia="zh-CN" w:bidi="ar"/>
              </w:rPr>
              <w:t>每月最高收费不超过160元。保存超过2月的，按每管每月(管·月)收取续存费用，不足1月按1月计费；不得重复收取“组织/体液/细胞冷冻(辅助生殖)”费用。</w:t>
            </w:r>
          </w:p>
        </w:tc>
        <w:tc>
          <w:tcPr>
            <w:tcW w:w="51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682"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lang w:val="en-US" w:eastAsia="zh-CN" w:bidi="ar"/>
              </w:rPr>
            </w:pPr>
            <w:r>
              <w:rPr>
                <w:rFonts w:hint="eastAsia" w:ascii="宋体" w:hAnsi="宋体" w:eastAsia="宋体" w:cs="宋体"/>
                <w:b w:val="0"/>
                <w:bCs w:val="0"/>
                <w:i w:val="0"/>
                <w:iCs w:val="0"/>
                <w:color w:val="000000"/>
                <w:kern w:val="0"/>
                <w:sz w:val="20"/>
                <w:szCs w:val="20"/>
                <w:lang w:val="en-US" w:eastAsia="zh-CN" w:bidi="ar"/>
              </w:rPr>
              <w:t>治疗费</w:t>
            </w:r>
          </w:p>
        </w:tc>
      </w:tr>
    </w:tbl>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r>
        <w:rPr>
          <w:rFonts w:hint="eastAsia" w:ascii="黑体" w:hAnsi="黑体" w:eastAsia="黑体" w:cs="黑体"/>
          <w:b w:val="0"/>
          <w:bCs w:val="0"/>
          <w:kern w:val="2"/>
          <w:sz w:val="32"/>
          <w:szCs w:val="32"/>
          <w:lang w:val="en-US" w:eastAsia="zh-CN" w:bidi="ar"/>
        </w:rPr>
        <w:t>附件2</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jc w:val="center"/>
        <w:textAlignment w:val="auto"/>
        <w:rPr>
          <w:rFonts w:hint="eastAsia" w:ascii="方正小标宋_GBK" w:hAnsi="方正小标宋_GBK" w:eastAsia="方正小标宋_GBK" w:cs="方正小标宋_GBK"/>
          <w:b w:val="0"/>
          <w:bCs w:val="0"/>
          <w:kern w:val="2"/>
          <w:sz w:val="44"/>
          <w:szCs w:val="44"/>
          <w:lang w:val="en-US" w:eastAsia="zh-CN" w:bidi="ar"/>
        </w:rPr>
      </w:pPr>
      <w:r>
        <w:rPr>
          <w:rFonts w:hint="eastAsia" w:ascii="宋体" w:hAnsi="宋体" w:eastAsia="宋体" w:cs="宋体"/>
          <w:b/>
          <w:bCs/>
          <w:kern w:val="2"/>
          <w:sz w:val="44"/>
          <w:szCs w:val="44"/>
          <w:lang w:val="en-US" w:eastAsia="zh-CN" w:bidi="ar"/>
        </w:rPr>
        <w:t>整合后麻醉类医疗服务价格项目表</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left"/>
        <w:textAlignment w:val="center"/>
        <w:rPr>
          <w:rFonts w:hint="eastAsia" w:ascii="仿宋" w:hAnsi="仿宋" w:eastAsia="仿宋" w:cs="仿宋"/>
          <w:b/>
          <w:bCs/>
          <w:i w:val="0"/>
          <w:iCs w:val="0"/>
          <w:color w:val="000000"/>
          <w:kern w:val="0"/>
          <w:sz w:val="24"/>
          <w:szCs w:val="24"/>
        </w:rPr>
      </w:pPr>
      <w:r>
        <w:rPr>
          <w:rFonts w:hint="eastAsia" w:ascii="仿宋" w:hAnsi="仿宋" w:eastAsia="仿宋" w:cs="仿宋"/>
          <w:b/>
          <w:bCs/>
          <w:i w:val="0"/>
          <w:iCs w:val="0"/>
          <w:color w:val="000000"/>
          <w:kern w:val="0"/>
          <w:sz w:val="24"/>
          <w:szCs w:val="24"/>
          <w:lang w:val="en-US" w:eastAsia="zh-CN" w:bidi="ar"/>
        </w:rPr>
        <w:t>使用说明：</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1.“价格构成”指项目价格应涵盖的各类资源消耗，用于确定计价单元的边界，是各级医疗保障部门制定调整项目价格考虑的测算因子，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2.“加收项”指同一项目以不同方式提供或在不同场景应用时，确有必要制定差异化收费标准而细分的一类子项。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3.“基本物质资源消耗”指原则上限于不应或不必要与医疗服务项目分割的易耗品，包括但不限于各类消毒用品、储存用品、清洁用品、个人防护用品、标签、垃圾处理用品、治疗巾（单）、棉球、棉签、纱布（垫）、治疗护理盘（包）、普通注射器、护（尿）垫、备皮工具、面罩、喉罩、二氧化碳测压管、钠石灰或钙石灰等二氧化碳吸附剂、可复用操作器具、软件（版权、开发、购买）成本等。基本物质资源消耗成本计入项目价格，不另行收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4.涉及“包括……”“……等”的，属于开放型表述，所指对象不仅局限于表述中列明的事项，也包括未列明的同类事项，以国家级技术规范、临床指南或专家共识中的明确定性为依据。</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5.计费时间以麻醉开始至麻醉结束（含麻醉恢复室复苏阶段）。</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6.各类麻醉项目价格构成中包含术中各类监测成本，不得与其他监测项目同时计费。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7.“危重患者”指：ASA分级4、5级。</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lang w:val="en-US" w:eastAsia="zh-CN" w:bidi="ar"/>
        </w:rPr>
      </w:pPr>
      <w:r>
        <w:rPr>
          <w:rFonts w:hint="eastAsia" w:ascii="仿宋" w:hAnsi="仿宋" w:eastAsia="仿宋" w:cs="仿宋"/>
          <w:b w:val="0"/>
          <w:bCs w:val="0"/>
          <w:i w:val="0"/>
          <w:iCs w:val="0"/>
          <w:color w:val="000000"/>
          <w:kern w:val="0"/>
          <w:sz w:val="24"/>
          <w:szCs w:val="24"/>
          <w:lang w:val="en-US" w:eastAsia="zh-CN" w:bidi="ar"/>
        </w:rPr>
        <w:t>8.“儿童”指6周岁及以下。周岁的计算方法以法律的相关规定为准。</w:t>
      </w:r>
    </w:p>
    <w:tbl>
      <w:tblPr>
        <w:tblStyle w:val="7"/>
        <w:tblW w:w="164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0"/>
        <w:gridCol w:w="1658"/>
        <w:gridCol w:w="1935"/>
        <w:gridCol w:w="2586"/>
        <w:gridCol w:w="3060"/>
        <w:gridCol w:w="570"/>
        <w:gridCol w:w="900"/>
        <w:gridCol w:w="870"/>
        <w:gridCol w:w="750"/>
        <w:gridCol w:w="2529"/>
        <w:gridCol w:w="532"/>
        <w:gridCol w:w="5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blHeader/>
          <w:jc w:val="center"/>
        </w:trPr>
        <w:tc>
          <w:tcPr>
            <w:tcW w:w="570" w:type="dxa"/>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658"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93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2586"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3060"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70"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计价</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单位</w:t>
            </w:r>
          </w:p>
        </w:tc>
        <w:tc>
          <w:tcPr>
            <w:tcW w:w="2520" w:type="dxa"/>
            <w:gridSpan w:val="3"/>
            <w:tcBorders>
              <w:top w:val="single" w:color="000000" w:sz="4" w:space="0"/>
              <w:left w:val="nil"/>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2529" w:type="dxa"/>
            <w:vMerge w:val="restart"/>
            <w:tcBorders>
              <w:top w:val="single" w:color="000000" w:sz="4" w:space="0"/>
              <w:left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532"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支付</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分类</w:t>
            </w:r>
          </w:p>
        </w:tc>
        <w:tc>
          <w:tcPr>
            <w:tcW w:w="532"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2" w:hRule="atLeast"/>
          <w:tblHeader/>
          <w:jc w:val="center"/>
        </w:trPr>
        <w:tc>
          <w:tcPr>
            <w:tcW w:w="570" w:type="dxa"/>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1658"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1935"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2586"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3060"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sz w:val="20"/>
                <w:szCs w:val="20"/>
              </w:rPr>
            </w:pPr>
          </w:p>
        </w:tc>
        <w:tc>
          <w:tcPr>
            <w:tcW w:w="570"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900" w:type="dxa"/>
            <w:tcBorders>
              <w:top w:val="single" w:color="000000" w:sz="4" w:space="0"/>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三级公立医疗机构</w:t>
            </w:r>
          </w:p>
        </w:tc>
        <w:tc>
          <w:tcPr>
            <w:tcW w:w="870" w:type="dxa"/>
            <w:tcBorders>
              <w:top w:val="single" w:color="000000" w:sz="4" w:space="0"/>
              <w:left w:val="nil"/>
              <w:bottom w:val="single" w:color="000000"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二级公立医疗机构</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sz w:val="20"/>
                <w:szCs w:val="20"/>
              </w:rPr>
            </w:pPr>
            <w:r>
              <w:rPr>
                <w:rFonts w:hint="eastAsia" w:ascii="宋体" w:hAnsi="宋体" w:eastAsia="宋体" w:cs="宋体"/>
                <w:b/>
                <w:bCs/>
                <w:color w:val="000000"/>
                <w:kern w:val="0"/>
                <w:sz w:val="20"/>
                <w:szCs w:val="20"/>
              </w:rPr>
              <w:t>一级公立医疗机构</w:t>
            </w:r>
          </w:p>
        </w:tc>
        <w:tc>
          <w:tcPr>
            <w:tcW w:w="2529" w:type="dxa"/>
            <w:vMerge w:val="continue"/>
            <w:tcBorders>
              <w:left w:val="single" w:color="auto"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532"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532"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jc w:val="center"/>
        </w:trPr>
        <w:tc>
          <w:tcPr>
            <w:tcW w:w="570" w:type="dxa"/>
            <w:tcBorders>
              <w:top w:val="single" w:color="auto"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p>
        </w:tc>
        <w:tc>
          <w:tcPr>
            <w:tcW w:w="1658" w:type="dxa"/>
            <w:tcBorders>
              <w:top w:val="single" w:color="auto"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宋体" w:hAnsi="宋体" w:eastAsia="宋体" w:cs="宋体"/>
                <w:i w:val="0"/>
                <w:iCs w:val="0"/>
                <w:color w:val="000000"/>
                <w:kern w:val="0"/>
                <w:sz w:val="20"/>
                <w:szCs w:val="20"/>
                <w:lang w:val="en-US" w:eastAsia="zh-CN" w:bidi="ar"/>
              </w:rPr>
              <w:t>3301</w:t>
            </w:r>
          </w:p>
        </w:tc>
        <w:tc>
          <w:tcPr>
            <w:tcW w:w="1935"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宋体" w:hAnsi="宋体" w:eastAsia="宋体" w:cs="宋体"/>
                <w:i w:val="0"/>
                <w:iCs w:val="0"/>
                <w:color w:val="000000"/>
                <w:kern w:val="0"/>
                <w:sz w:val="20"/>
                <w:szCs w:val="20"/>
                <w:lang w:val="en-US" w:eastAsia="zh-CN" w:bidi="ar"/>
              </w:rPr>
              <w:t>麻醉</w:t>
            </w:r>
          </w:p>
        </w:tc>
        <w:tc>
          <w:tcPr>
            <w:tcW w:w="2586"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3060"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p>
        </w:tc>
        <w:tc>
          <w:tcPr>
            <w:tcW w:w="900"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c>
          <w:tcPr>
            <w:tcW w:w="8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c>
          <w:tcPr>
            <w:tcW w:w="252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实行联合麻醉时，第二种及以上麻醉按每种麻醉30%收取。</w:t>
            </w:r>
          </w:p>
        </w:tc>
        <w:tc>
          <w:tcPr>
            <w:tcW w:w="53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p>
        </w:tc>
        <w:tc>
          <w:tcPr>
            <w:tcW w:w="53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p>
        </w:tc>
      </w:tr>
    </w:tbl>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both"/>
        <w:textAlignment w:val="center"/>
        <w:rPr>
          <w:rFonts w:hint="eastAsia" w:ascii="仿宋" w:hAnsi="仿宋" w:eastAsia="仿宋" w:cs="仿宋"/>
          <w:b w:val="0"/>
          <w:bCs w:val="0"/>
          <w:i w:val="0"/>
          <w:iCs w:val="0"/>
          <w:color w:val="000000"/>
          <w:kern w:val="0"/>
          <w:sz w:val="24"/>
          <w:szCs w:val="24"/>
          <w:lang w:val="en-US" w:eastAsia="zh-CN" w:bidi="ar"/>
        </w:rPr>
      </w:pPr>
    </w:p>
    <w:tbl>
      <w:tblPr>
        <w:tblStyle w:val="7"/>
        <w:tblW w:w="163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1"/>
        <w:gridCol w:w="1665"/>
        <w:gridCol w:w="1950"/>
        <w:gridCol w:w="2535"/>
        <w:gridCol w:w="3060"/>
        <w:gridCol w:w="570"/>
        <w:gridCol w:w="855"/>
        <w:gridCol w:w="915"/>
        <w:gridCol w:w="765"/>
        <w:gridCol w:w="2360"/>
        <w:gridCol w:w="540"/>
        <w:gridCol w:w="5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blHeader/>
          <w:jc w:val="center"/>
        </w:trPr>
        <w:tc>
          <w:tcPr>
            <w:tcW w:w="521" w:type="dxa"/>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66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950"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253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3060"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价格构成</w:t>
            </w:r>
          </w:p>
        </w:tc>
        <w:tc>
          <w:tcPr>
            <w:tcW w:w="570"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计价</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单位</w:t>
            </w:r>
          </w:p>
        </w:tc>
        <w:tc>
          <w:tcPr>
            <w:tcW w:w="2535" w:type="dxa"/>
            <w:gridSpan w:val="3"/>
            <w:tcBorders>
              <w:top w:val="single" w:color="000000" w:sz="4" w:space="0"/>
              <w:left w:val="nil"/>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2360" w:type="dxa"/>
            <w:vMerge w:val="restart"/>
            <w:tcBorders>
              <w:top w:val="single" w:color="000000" w:sz="4" w:space="0"/>
              <w:left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540"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支付</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分类</w:t>
            </w:r>
          </w:p>
        </w:tc>
        <w:tc>
          <w:tcPr>
            <w:tcW w:w="58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blHeader/>
          <w:jc w:val="center"/>
        </w:trPr>
        <w:tc>
          <w:tcPr>
            <w:tcW w:w="521" w:type="dxa"/>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1665"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1950"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2535"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3060"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570" w:type="dxa"/>
            <w:vMerge w:val="continue"/>
            <w:tcBorders>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855" w:type="dxa"/>
            <w:tcBorders>
              <w:top w:val="single" w:color="000000" w:sz="4" w:space="0"/>
              <w:left w:val="nil"/>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三级公立医疗机构</w:t>
            </w:r>
          </w:p>
        </w:tc>
        <w:tc>
          <w:tcPr>
            <w:tcW w:w="915" w:type="dxa"/>
            <w:tcBorders>
              <w:top w:val="single" w:color="000000" w:sz="4" w:space="0"/>
              <w:left w:val="nil"/>
              <w:bottom w:val="single" w:color="000000"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二级公立医疗机构</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sz w:val="20"/>
                <w:szCs w:val="20"/>
              </w:rPr>
            </w:pPr>
            <w:r>
              <w:rPr>
                <w:rFonts w:hint="eastAsia" w:ascii="宋体" w:hAnsi="宋体" w:eastAsia="宋体" w:cs="宋体"/>
                <w:b/>
                <w:bCs/>
                <w:color w:val="000000"/>
                <w:kern w:val="0"/>
                <w:sz w:val="20"/>
                <w:szCs w:val="20"/>
              </w:rPr>
              <w:t>一级公立医疗机构</w:t>
            </w:r>
          </w:p>
        </w:tc>
        <w:tc>
          <w:tcPr>
            <w:tcW w:w="2360" w:type="dxa"/>
            <w:vMerge w:val="continue"/>
            <w:tcBorders>
              <w:left w:val="single" w:color="auto"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540"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c>
          <w:tcPr>
            <w:tcW w:w="585"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tcBorders>
              <w:top w:val="single" w:color="auto"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1665" w:type="dxa"/>
            <w:tcBorders>
              <w:top w:val="single" w:color="auto"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013301000010000</w:t>
            </w:r>
          </w:p>
        </w:tc>
        <w:tc>
          <w:tcPr>
            <w:tcW w:w="1950"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局部麻醉费（局部浸润麻醉）</w:t>
            </w:r>
          </w:p>
        </w:tc>
        <w:tc>
          <w:tcPr>
            <w:tcW w:w="2535"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通过对特定部位注射给药，暂时阻断神经传导，达到局部麻醉效果。</w:t>
            </w:r>
          </w:p>
        </w:tc>
        <w:tc>
          <w:tcPr>
            <w:tcW w:w="3060"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所定价格涵盖核对信息、配制、定位、消毒、反复穿刺、注射、拔针、按压、监测、观察、处理用物等所需的人力资源和基本物质资源消耗。</w:t>
            </w:r>
          </w:p>
        </w:tc>
        <w:tc>
          <w:tcPr>
            <w:tcW w:w="570"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auto"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29</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26</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25</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一个手术部位按一次麻醉计算。</w:t>
            </w: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013301000020000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局部麻醉费（局部静脉麻醉）</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通过对静脉注射给药，暂时阻断神经传导，达到局部麻醉效果。</w:t>
            </w: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所定价格涵盖核对信息、配制、定位、消毒、穿刺、注射、拔针、按压、监测、观察、处理用物等所需的人力资源和基本物质资源消耗。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107</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96</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91</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一个手术部位按一次麻醉计算。</w:t>
            </w: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restart"/>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013301000030000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局部麻醉费（神经阻滞麻醉）</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通过对特定的外周神经根、神经节、神经干、神经丛或筋膜平面注射药物，暂时阻断神经传导，达到区域性麻醉效果。</w:t>
            </w: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所定价格涵盖患者准备、定位、消毒、穿刺、注药、监测、观察、记录、处理用物及必要时置管等步骤所需的人力资源和基本物质资源消耗。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295</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266</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251</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numPr>
                <w:ilvl w:val="0"/>
                <w:numId w:val="1"/>
              </w:numPr>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单次以2小时为基础计费，超过2小时每小时加收50%；</w:t>
            </w:r>
          </w:p>
          <w:p>
            <w:pPr>
              <w:keepNext w:val="0"/>
              <w:keepLines w:val="0"/>
              <w:pageBreakBefore w:val="0"/>
              <w:widowControl/>
              <w:numPr>
                <w:ilvl w:val="0"/>
                <w:numId w:val="1"/>
              </w:numPr>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门诊口腔神经阻滞麻醉按50元收取。</w:t>
            </w: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013301000030001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局部麻醉费（神经阻滞麻醉）-儿童（加收）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both"/>
              <w:rPr>
                <w:rFonts w:hint="eastAsia" w:ascii="宋体" w:hAnsi="宋体" w:eastAsia="宋体" w:cs="宋体"/>
                <w:i w:val="0"/>
                <w:iCs w:val="0"/>
                <w:color w:val="000000"/>
                <w:kern w:val="2"/>
                <w:sz w:val="22"/>
                <w:szCs w:val="22"/>
                <w:lang w:val="en-US" w:eastAsia="zh-CN" w:bidi="ar-SA"/>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89</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80</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75</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013301000030002</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局部麻醉费（神经阻滞麻醉）-80周岁及以上患者（加收）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both"/>
              <w:rPr>
                <w:rFonts w:hint="eastAsia" w:ascii="宋体" w:hAnsi="宋体" w:eastAsia="宋体" w:cs="宋体"/>
                <w:i w:val="0"/>
                <w:iCs w:val="0"/>
                <w:color w:val="000000"/>
                <w:kern w:val="2"/>
                <w:sz w:val="22"/>
                <w:szCs w:val="22"/>
                <w:lang w:val="en-US" w:eastAsia="zh-CN" w:bidi="ar-SA"/>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89</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80</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75</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restart"/>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013301000040000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局部麻醉费（椎管内麻醉）</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通过将药物注射到椎管内，阻断神经传导，达到麻醉效果。</w:t>
            </w: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2"/>
                <w:szCs w:val="22"/>
                <w:lang w:val="en-US" w:eastAsia="zh-CN" w:bidi="ar-SA"/>
              </w:rPr>
            </w:pPr>
            <w:r>
              <w:rPr>
                <w:rFonts w:hint="eastAsia" w:ascii="宋体" w:hAnsi="宋体" w:eastAsia="宋体" w:cs="宋体"/>
                <w:i w:val="0"/>
                <w:iCs w:val="0"/>
                <w:color w:val="000000"/>
                <w:kern w:val="0"/>
                <w:sz w:val="20"/>
                <w:szCs w:val="20"/>
                <w:lang w:val="en-US" w:eastAsia="zh-CN" w:bidi="ar"/>
              </w:rPr>
              <w:t>所定价格涵盖患者准备、定位、消毒、穿刺、注药、监测、观察、记录、处理用物及必要时置管等步骤所需的人力资源和基本物质资源消耗。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570</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513</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485</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单次以2小时为基础计费，超过2小时每小时加收90元。</w:t>
            </w: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013301000040001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局部麻醉费（椎管内麻醉）-儿童（加收）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171</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154</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146</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013301000040002</w:t>
            </w:r>
          </w:p>
        </w:tc>
        <w:tc>
          <w:tcPr>
            <w:tcW w:w="195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局部麻醉费（椎管内麻醉）-80周岁及以上患者（加收）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171</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154</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146</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bCs/>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013301000040011</w:t>
            </w:r>
          </w:p>
        </w:tc>
        <w:tc>
          <w:tcPr>
            <w:tcW w:w="195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局部麻醉费（椎管内麻醉）-腰麻硬膜外联合阻滞（加收）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76</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68</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65</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0" w:hRule="atLeast"/>
          <w:jc w:val="center"/>
        </w:trPr>
        <w:tc>
          <w:tcPr>
            <w:tcW w:w="521" w:type="dxa"/>
            <w:vMerge w:val="restart"/>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013301000050000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全身麻醉费（无插管全麻）</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通过药物注入或吸入气体，作用于中枢神经系统，达到短暂且保留自主呼吸的全身麻醉效果。</w:t>
            </w: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所定价格涵盖患者准备、消毒、静脉穿刺、注药或吸入、监测、观察、记录、患者复苏、处理用物等步骤所需的人力资源和基本物质资源消耗。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428</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385</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364</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013301000050001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全身麻醉费（无插管全麻）-儿童（加收）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128</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116</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109</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013301000050002</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全身麻醉费（无插管全麻）-80周岁及以上患者（加收）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128</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116</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109</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2" w:hRule="atLeast"/>
          <w:jc w:val="center"/>
        </w:trPr>
        <w:tc>
          <w:tcPr>
            <w:tcW w:w="521" w:type="dxa"/>
            <w:vMerge w:val="restart"/>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013301000060000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全身麻醉费（插管或喉罩）</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通过将药物（气体）注入或吸入体内，暂时抑制中枢神经系统，以插管或喉罩维持呼吸，达到可逆性神志消失、全身痛觉消失、遗忘、反射抑制的全身麻醉效果。</w:t>
            </w: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所定价格涵盖设备准备、患者准备、静脉穿刺、注药或吸入、气管插管、机械通气、监测、观察、记录、患者复苏、处理用物等步骤所需的人力资源和基本物质资源消耗。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1026</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923</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872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单次以2小时为基础计费，超过2小时每小时加收140元。</w:t>
            </w: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013301000060001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全身麻醉费（插管或喉罩）-儿童（加收）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both"/>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308</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277</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262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013301000060002</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全身麻醉费（插管或喉罩）- 80周岁及以上患者（加收）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308</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277</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262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013301000060011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全身麻醉费（插管或喉罩）-危重患者（加收）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308</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277</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262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jc w:val="center"/>
        </w:trPr>
        <w:tc>
          <w:tcPr>
            <w:tcW w:w="521" w:type="dxa"/>
            <w:vMerge w:val="restart"/>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7</w:t>
            </w: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013301000070000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全身麻醉费（支气管内麻醉）</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通过将药物（气体）注入或吸入体内，暂时抑制中枢神经系统，支气管插管，单肺通气，达到可逆性神志消失、全身痛觉消失、遗忘、反射抑制的全身麻醉效果。</w:t>
            </w: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所定价格涵盖设备准备、患者准备、静脉穿刺、注药或吸入、支气管插管或封堵、机械通气、监测、观察、记录、患者复苏、处理用物等步骤所需的人力资源和基本物质资源消耗。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1026</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923</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872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单次以2小时为基础计费，超过2小时每小时加收140元。</w:t>
            </w: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013301000070001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全身麻醉费（支气管内麻醉）-儿童（加收）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308</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277</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262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4"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013301000070002</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全身麻醉费（支气管内麻醉）-80周岁及以上患者（加收）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308</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277</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262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013301000070011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全身麻醉费（支气管内麻醉）-危重患者（加收）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308</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277</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262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restart"/>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8</w:t>
            </w: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013301000080000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全身麻醉费（深低温停循环麻醉）</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指通过各类方式，降低患者核心体温，暂停体外循环，进行手术治疗。</w:t>
            </w: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所定价格涵盖设备准备、患者准备、静脉穿刺、注药或吸入、气管插管、机械通气、监测、观察、记录、患者复苏、处理用物等步骤所需的人力资源和基本物质资源消耗。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1406</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1265</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1195</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单次以2小时为基础计费，超过2小时每小时加收140元。</w:t>
            </w: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013301000080001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全身麻醉费（深低温停循环麻醉）-儿童（加收）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422</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380</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359</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013301000080002</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全身麻醉费（深低温停循环麻醉）-80周岁及以上患者（加收）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422</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380</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359</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restart"/>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9</w:t>
            </w: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013301000090000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麻醉监护下镇静</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在麻醉监护下通过药物注入使病人处于清醒镇静状态，为有创操作或检查创造条件。</w:t>
            </w: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所定价格涵盖设备准备、患者准备、注药、监测、观察、记录、处理用物等步骤所需的人力资源和基本物质资源消耗。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38</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34</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32</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013301000090001</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麻醉监护下镇静-儿童（加收）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11.4</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10.2</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9.6</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vMerge w:val="continue"/>
            <w:tcBorders>
              <w:top w:val="nil"/>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013301000090002</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麻醉监护下镇静-80周岁及以上患者（加收）</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5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11.4</w:t>
            </w:r>
          </w:p>
        </w:tc>
        <w:tc>
          <w:tcPr>
            <w:tcW w:w="91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10.2</w:t>
            </w:r>
          </w:p>
        </w:tc>
        <w:tc>
          <w:tcPr>
            <w:tcW w:w="76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9.6</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40"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8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10</w:t>
            </w:r>
          </w:p>
        </w:tc>
        <w:tc>
          <w:tcPr>
            <w:tcW w:w="16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013301000100000</w:t>
            </w:r>
          </w:p>
        </w:tc>
        <w:tc>
          <w:tcPr>
            <w:tcW w:w="195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连续镇痛</w:t>
            </w:r>
          </w:p>
        </w:tc>
        <w:tc>
          <w:tcPr>
            <w:tcW w:w="25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通过储药装置或输注泵进行持续镇痛。</w:t>
            </w:r>
          </w:p>
        </w:tc>
        <w:tc>
          <w:tcPr>
            <w:tcW w:w="30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所定价格涵盖注药、观察、记录、处理用物等步骤所需的人力资源和基本物质资源消耗。</w:t>
            </w:r>
          </w:p>
        </w:tc>
        <w:tc>
          <w:tcPr>
            <w:tcW w:w="57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日</w:t>
            </w:r>
          </w:p>
        </w:tc>
        <w:tc>
          <w:tcPr>
            <w:tcW w:w="85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48</w:t>
            </w:r>
          </w:p>
        </w:tc>
        <w:tc>
          <w:tcPr>
            <w:tcW w:w="91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43</w:t>
            </w:r>
          </w:p>
        </w:tc>
        <w:tc>
          <w:tcPr>
            <w:tcW w:w="76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41</w:t>
            </w:r>
          </w:p>
        </w:tc>
        <w:tc>
          <w:tcPr>
            <w:tcW w:w="236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1.本项目不含穿刺、置管费用；</w:t>
            </w:r>
            <w:r>
              <w:rPr>
                <w:rFonts w:hint="eastAsia" w:ascii="宋体" w:hAnsi="宋体" w:eastAsia="宋体" w:cs="宋体"/>
                <w:i w:val="0"/>
                <w:iCs w:val="0"/>
                <w:color w:val="000000"/>
                <w:kern w:val="0"/>
                <w:sz w:val="20"/>
                <w:szCs w:val="20"/>
                <w:lang w:val="en-US" w:eastAsia="zh-CN" w:bidi="ar"/>
              </w:rPr>
              <w:br w:type="textWrapping"/>
            </w:r>
            <w:r>
              <w:rPr>
                <w:rFonts w:hint="eastAsia" w:ascii="宋体" w:hAnsi="宋体" w:eastAsia="宋体" w:cs="宋体"/>
                <w:i w:val="0"/>
                <w:iCs w:val="0"/>
                <w:color w:val="000000"/>
                <w:kern w:val="0"/>
                <w:sz w:val="20"/>
                <w:szCs w:val="20"/>
                <w:lang w:val="en-US" w:eastAsia="zh-CN" w:bidi="ar"/>
              </w:rPr>
              <w:t>2.连续镇痛包括但不限于椎管内镇痛、静脉连续镇痛、神经阻滞连续镇痛等。</w:t>
            </w:r>
          </w:p>
        </w:tc>
        <w:tc>
          <w:tcPr>
            <w:tcW w:w="54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8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bl>
    <w:p>
      <w:pPr>
        <w:ind w:firstLine="400" w:firstLineChars="200"/>
        <w:rPr>
          <w:rFonts w:hint="eastAsia" w:ascii="宋体" w:hAnsi="宋体" w:eastAsia="宋体" w:cs="宋体"/>
          <w:sz w:val="20"/>
          <w:szCs w:val="20"/>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r>
        <w:rPr>
          <w:rFonts w:hint="eastAsia" w:ascii="黑体" w:hAnsi="黑体" w:eastAsia="黑体" w:cs="黑体"/>
          <w:b w:val="0"/>
          <w:bCs w:val="0"/>
          <w:kern w:val="2"/>
          <w:sz w:val="32"/>
          <w:szCs w:val="32"/>
          <w:lang w:val="en-US" w:eastAsia="zh-CN" w:bidi="ar"/>
        </w:rPr>
        <w:t>附件3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jc w:val="center"/>
        <w:textAlignment w:val="auto"/>
        <w:rPr>
          <w:rFonts w:hint="eastAsia" w:ascii="宋体" w:hAnsi="宋体" w:eastAsia="宋体" w:cs="宋体"/>
          <w:b/>
          <w:bCs/>
          <w:kern w:val="2"/>
          <w:sz w:val="44"/>
          <w:szCs w:val="44"/>
          <w:lang w:val="en-US" w:eastAsia="zh-CN" w:bidi="ar"/>
        </w:rPr>
      </w:pPr>
      <w:r>
        <w:rPr>
          <w:rFonts w:hint="eastAsia" w:ascii="宋体" w:hAnsi="宋体" w:eastAsia="宋体" w:cs="宋体"/>
          <w:b/>
          <w:bCs/>
          <w:kern w:val="2"/>
          <w:sz w:val="44"/>
          <w:szCs w:val="44"/>
          <w:lang w:val="en-US" w:eastAsia="zh-CN" w:bidi="ar"/>
        </w:rPr>
        <w:t>整合后中医骨伤类医疗服务价格项目表</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00" w:lineRule="exact"/>
        <w:ind w:left="0" w:right="0"/>
        <w:jc w:val="both"/>
        <w:textAlignment w:val="center"/>
        <w:rPr>
          <w:rFonts w:hint="eastAsia" w:ascii="仿宋" w:hAnsi="仿宋" w:eastAsia="仿宋" w:cs="仿宋"/>
          <w:b/>
          <w:bCs/>
          <w:i w:val="0"/>
          <w:iCs w:val="0"/>
          <w:color w:val="000000"/>
          <w:kern w:val="0"/>
          <w:sz w:val="24"/>
          <w:szCs w:val="24"/>
        </w:rPr>
      </w:pPr>
      <w:r>
        <w:rPr>
          <w:rFonts w:hint="eastAsia" w:ascii="仿宋" w:hAnsi="仿宋" w:eastAsia="仿宋" w:cs="仿宋"/>
          <w:b/>
          <w:bCs/>
          <w:i w:val="0"/>
          <w:iCs w:val="0"/>
          <w:color w:val="000000"/>
          <w:kern w:val="0"/>
          <w:sz w:val="24"/>
          <w:szCs w:val="24"/>
          <w:lang w:val="en-US" w:eastAsia="zh-CN" w:bidi="ar"/>
        </w:rPr>
        <w:t>使用说明：</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0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1.“价格构成”指项目价格应涵盖的各类资源消耗，用于确定计价单元的边界，是各级医疗保障部门制定调整项目价格考虑的测算因子，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0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2.“加收项”指同一项目以不同方式提供或在不同场景应用时，确有必要制定差异化收费标准而细分的一类子项。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0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3.“基本物耗”指原则上限于不应或不必要与医疗服务项目分割的易耗品，包括但不限于各类消杀灭菌用品、标签、储存用品、清洁用品、个人防护用品、垃圾处理用品、冲洗液、润滑剂、棉球、棉签、纱布（垫）、护（尿）垫、手术巾（单）、治疗巾（单）、中单、治疗护理盘(包）、手术包、注射器、防渗漏垫、悬吊巾、压垫、棉垫、可复用的操作器具、各种针具刀具等。基本物耗成本计入项目价格，不另行收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0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4.计价单位“每关节”是指：单个大关节（肩、肘、腕、髋、膝、踝）、颈椎、胸椎、腰椎、单侧手掌部关节、单侧足部关节、单侧颞颌关节、单侧肩锁关节、单侧胸锁关节。</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00" w:lineRule="exact"/>
        <w:ind w:left="0" w:right="0"/>
        <w:jc w:val="both"/>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 xml:space="preserve">5.“儿童”指6周岁及以下。周岁的计算方法以法律的相关规定为准。 </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00" w:lineRule="exact"/>
        <w:ind w:left="0" w:right="0"/>
        <w:jc w:val="both"/>
        <w:textAlignment w:val="center"/>
        <w:rPr>
          <w:rFonts w:hint="eastAsia" w:ascii="仿宋" w:hAnsi="仿宋" w:eastAsia="仿宋" w:cs="仿宋"/>
          <w:b w:val="0"/>
          <w:bCs w:val="0"/>
          <w:i w:val="0"/>
          <w:iCs w:val="0"/>
          <w:color w:val="000000"/>
          <w:kern w:val="0"/>
          <w:sz w:val="24"/>
          <w:szCs w:val="24"/>
          <w:lang w:val="en-US" w:eastAsia="zh-CN" w:bidi="ar"/>
        </w:rPr>
      </w:pPr>
      <w:r>
        <w:rPr>
          <w:rFonts w:hint="eastAsia" w:ascii="仿宋" w:hAnsi="仿宋" w:eastAsia="仿宋" w:cs="仿宋"/>
          <w:b w:val="0"/>
          <w:bCs w:val="0"/>
          <w:i w:val="0"/>
          <w:iCs w:val="0"/>
          <w:color w:val="000000"/>
          <w:kern w:val="0"/>
          <w:sz w:val="24"/>
          <w:szCs w:val="24"/>
          <w:lang w:val="en-US" w:eastAsia="zh-CN" w:bidi="ar"/>
        </w:rPr>
        <w:t>6.涉及“包括……”“……等”的，属于开放型表述，所指对象不仅局限于表述中列明的事项，也包括未列明的同类事项，以国家级技术规范、临床指南或专家共识中的明确定性为依据。</w:t>
      </w:r>
    </w:p>
    <w:tbl>
      <w:tblPr>
        <w:tblStyle w:val="7"/>
        <w:tblW w:w="15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3"/>
        <w:gridCol w:w="1868"/>
        <w:gridCol w:w="1643"/>
        <w:gridCol w:w="1934"/>
        <w:gridCol w:w="2550"/>
        <w:gridCol w:w="583"/>
        <w:gridCol w:w="940"/>
        <w:gridCol w:w="942"/>
        <w:gridCol w:w="941"/>
        <w:gridCol w:w="2549"/>
        <w:gridCol w:w="638"/>
        <w:gridCol w:w="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5" w:hRule="atLeast"/>
          <w:tblHeader/>
          <w:jc w:val="center"/>
        </w:trPr>
        <w:tc>
          <w:tcPr>
            <w:tcW w:w="50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86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64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1934"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55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8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2823"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kern w:val="0"/>
                <w:sz w:val="20"/>
                <w:szCs w:val="20"/>
              </w:rPr>
              <w:t>价格（元）</w:t>
            </w:r>
          </w:p>
        </w:tc>
        <w:tc>
          <w:tcPr>
            <w:tcW w:w="2549"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63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63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9" w:hRule="atLeast"/>
          <w:tblHeader/>
          <w:jc w:val="center"/>
        </w:trPr>
        <w:tc>
          <w:tcPr>
            <w:tcW w:w="50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86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64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934"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55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8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三级公立医疗机构</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二级公立医疗机构</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一级公立医疗机构</w:t>
            </w:r>
          </w:p>
        </w:tc>
        <w:tc>
          <w:tcPr>
            <w:tcW w:w="2549"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3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3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014300000010000</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手法整复术（关节脱位）</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通过手法（或辅助器械）使脱位或紊乱关节复位。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所定价格涵盖摆位、整复、包扎、必要时固定等步骤，以及必要时使用辅助器械所需的人力资源和基本物质资源消耗。</w:t>
            </w:r>
          </w:p>
        </w:tc>
        <w:tc>
          <w:tcPr>
            <w:tcW w:w="5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每关节</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133</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120</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113</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014300000010001</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手法整复术（关节脱位）-儿童（加收）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通过手法（或辅助器械）使儿童脱位或紊乱关节复位。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每关节</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lang w:val="en-US"/>
              </w:rPr>
            </w:pPr>
            <w:r>
              <w:rPr>
                <w:rFonts w:hint="eastAsia" w:ascii="宋体" w:hAnsi="宋体" w:eastAsia="宋体" w:cs="宋体"/>
                <w:i w:val="0"/>
                <w:iCs w:val="0"/>
                <w:color w:val="000000"/>
                <w:kern w:val="0"/>
                <w:sz w:val="22"/>
                <w:szCs w:val="22"/>
                <w:u w:val="none"/>
                <w:lang w:val="en-US" w:eastAsia="zh-CN" w:bidi="ar"/>
              </w:rPr>
              <w:t>40</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36</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bl>
    <w:p>
      <w:pPr>
        <w:rPr>
          <w:rFonts w:hint="eastAsia"/>
        </w:rPr>
      </w:pPr>
    </w:p>
    <w:tbl>
      <w:tblPr>
        <w:tblStyle w:val="7"/>
        <w:tblW w:w="15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3"/>
        <w:gridCol w:w="1868"/>
        <w:gridCol w:w="1643"/>
        <w:gridCol w:w="1934"/>
        <w:gridCol w:w="2550"/>
        <w:gridCol w:w="583"/>
        <w:gridCol w:w="940"/>
        <w:gridCol w:w="942"/>
        <w:gridCol w:w="941"/>
        <w:gridCol w:w="2549"/>
        <w:gridCol w:w="638"/>
        <w:gridCol w:w="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5" w:hRule="atLeast"/>
          <w:tblHeader/>
          <w:jc w:val="center"/>
        </w:trPr>
        <w:tc>
          <w:tcPr>
            <w:tcW w:w="50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86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64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1934"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55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8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2823"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kern w:val="0"/>
                <w:sz w:val="20"/>
                <w:szCs w:val="20"/>
              </w:rPr>
              <w:t>价格（元）</w:t>
            </w:r>
          </w:p>
        </w:tc>
        <w:tc>
          <w:tcPr>
            <w:tcW w:w="2549"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63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63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9" w:hRule="atLeast"/>
          <w:tblHeader/>
          <w:jc w:val="center"/>
        </w:trPr>
        <w:tc>
          <w:tcPr>
            <w:tcW w:w="50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86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64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934"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55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8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三级公立医疗机构</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二级公立医疗机构</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000000"/>
                <w:kern w:val="0"/>
                <w:sz w:val="20"/>
                <w:szCs w:val="20"/>
              </w:rPr>
              <w:t>一级公立医疗机构</w:t>
            </w:r>
          </w:p>
        </w:tc>
        <w:tc>
          <w:tcPr>
            <w:tcW w:w="2549"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3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3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014300000020000</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手法整复术（复杂关节脱位）</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通过手法（或辅助器械）使脱位复杂关节复位。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spacing w:val="-6"/>
                <w:kern w:val="2"/>
                <w:sz w:val="20"/>
                <w:szCs w:val="20"/>
              </w:rPr>
            </w:pPr>
            <w:r>
              <w:rPr>
                <w:rFonts w:hint="eastAsia" w:ascii="宋体" w:hAnsi="宋体" w:eastAsia="宋体" w:cs="宋体"/>
                <w:i w:val="0"/>
                <w:iCs w:val="0"/>
                <w:color w:val="000000"/>
                <w:spacing w:val="-6"/>
                <w:kern w:val="0"/>
                <w:sz w:val="20"/>
                <w:szCs w:val="20"/>
                <w:lang w:val="en-US" w:eastAsia="zh-CN" w:bidi="ar"/>
              </w:rPr>
              <w:t>所定价格涵盖摆位、整复、包扎、必要时固定等步骤，以及必要时使用辅助器械所需的人力资源和基本物质资源消耗。</w:t>
            </w: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每关节</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242</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218</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206</w:t>
            </w:r>
          </w:p>
        </w:tc>
        <w:tc>
          <w:tcPr>
            <w:tcW w:w="254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“复</w:t>
            </w:r>
            <w:r>
              <w:rPr>
                <w:rFonts w:hint="eastAsia" w:ascii="宋体" w:hAnsi="宋体" w:eastAsia="宋体" w:cs="宋体"/>
                <w:i w:val="0"/>
                <w:iCs w:val="0"/>
                <w:color w:val="000000"/>
                <w:spacing w:val="-6"/>
                <w:kern w:val="0"/>
                <w:sz w:val="20"/>
                <w:szCs w:val="20"/>
                <w:lang w:val="en-US" w:eastAsia="zh-CN" w:bidi="ar"/>
              </w:rPr>
              <w:t>杂关节脱位”指寰枢椎、髋关节、骨盆等关节脱位以及陈旧性脱位。</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014300000020001</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手法整复术（复杂关节脱位）-儿童（加收）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通过手法（或辅助器械）使儿童脱位复杂关节复位。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spacing w:val="-6"/>
                <w:kern w:val="2"/>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每关节</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lang w:val="en-US"/>
              </w:rPr>
            </w:pPr>
            <w:r>
              <w:rPr>
                <w:rFonts w:hint="eastAsia" w:ascii="宋体" w:hAnsi="宋体" w:eastAsia="宋体" w:cs="宋体"/>
                <w:i w:val="0"/>
                <w:iCs w:val="0"/>
                <w:color w:val="000000"/>
                <w:kern w:val="0"/>
                <w:sz w:val="22"/>
                <w:szCs w:val="22"/>
                <w:u w:val="none"/>
                <w:lang w:val="en-US" w:eastAsia="zh-CN" w:bidi="ar"/>
              </w:rPr>
              <w:t>73</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65</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62</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014300000030000</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手法整复术（骨伤）</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通过正骨手法（或辅助器械）使骨折或韧带损伤复位。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spacing w:val="-6"/>
                <w:kern w:val="2"/>
                <w:sz w:val="20"/>
                <w:szCs w:val="20"/>
              </w:rPr>
            </w:pPr>
            <w:r>
              <w:rPr>
                <w:rFonts w:hint="eastAsia" w:ascii="宋体" w:hAnsi="宋体" w:eastAsia="宋体" w:cs="宋体"/>
                <w:i w:val="0"/>
                <w:iCs w:val="0"/>
                <w:color w:val="000000"/>
                <w:spacing w:val="-6"/>
                <w:kern w:val="0"/>
                <w:sz w:val="20"/>
                <w:szCs w:val="20"/>
                <w:lang w:val="en-US" w:eastAsia="zh-CN" w:bidi="ar"/>
              </w:rPr>
              <w:t>所定价格涵盖摆位、整复、包扎、必要时固定等步骤，以及必要时使用辅助器械所需的人力资源和基本物质资源消耗。</w:t>
            </w: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每处骨折</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190</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171</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162</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014300000030001</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手法整复术（骨伤）-儿童（加收）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通过正骨手法（或辅助器械）使儿童骨折或韧带损伤复位。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spacing w:val="-6"/>
                <w:kern w:val="2"/>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每处骨折</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lang w:val="en-US"/>
              </w:rPr>
            </w:pPr>
            <w:r>
              <w:rPr>
                <w:rFonts w:hint="eastAsia" w:ascii="宋体" w:hAnsi="宋体" w:eastAsia="宋体" w:cs="宋体"/>
                <w:i w:val="0"/>
                <w:iCs w:val="0"/>
                <w:color w:val="000000"/>
                <w:kern w:val="0"/>
                <w:sz w:val="22"/>
                <w:szCs w:val="22"/>
                <w:u w:val="none"/>
                <w:lang w:val="en-US" w:eastAsia="zh-CN" w:bidi="ar"/>
              </w:rPr>
              <w:t>57</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51</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49</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014300000040000</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手法整复术（复杂骨伤）</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通过正骨手法（或辅助器械）使复杂骨折或韧带损伤复位。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spacing w:val="-6"/>
                <w:kern w:val="2"/>
                <w:sz w:val="20"/>
                <w:szCs w:val="20"/>
              </w:rPr>
            </w:pPr>
            <w:r>
              <w:rPr>
                <w:rFonts w:hint="eastAsia" w:ascii="宋体" w:hAnsi="宋体" w:eastAsia="宋体" w:cs="宋体"/>
                <w:i w:val="0"/>
                <w:iCs w:val="0"/>
                <w:color w:val="000000"/>
                <w:spacing w:val="-6"/>
                <w:kern w:val="0"/>
                <w:sz w:val="20"/>
                <w:szCs w:val="20"/>
                <w:lang w:val="en-US" w:eastAsia="zh-CN" w:bidi="ar"/>
              </w:rPr>
              <w:t>所定价格涵盖摆位、整复、包扎、必要时固定等步骤，以及必要时使用辅助器械所需的人力资源和基本物质资源消耗。</w:t>
            </w: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每处骨折</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333</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300</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283</w:t>
            </w:r>
          </w:p>
        </w:tc>
        <w:tc>
          <w:tcPr>
            <w:tcW w:w="254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“复杂骨伤”指脊柱、骨盆、关节内等骨折以及陈旧性、粉碎性骨折。</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014300000040001</w:t>
            </w:r>
          </w:p>
        </w:tc>
        <w:tc>
          <w:tcPr>
            <w:tcW w:w="164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手法整复术（复杂骨伤）-儿童（加收）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通过正骨手法（或辅助器械）使儿童复杂骨折或韧带损</w:t>
            </w:r>
            <w:r>
              <w:rPr>
                <w:rFonts w:hint="eastAsia" w:ascii="宋体" w:hAnsi="宋体" w:eastAsia="宋体" w:cs="宋体"/>
                <w:i w:val="0"/>
                <w:iCs w:val="0"/>
                <w:color w:val="000000"/>
                <w:spacing w:val="-11"/>
                <w:kern w:val="0"/>
                <w:sz w:val="20"/>
                <w:szCs w:val="20"/>
                <w:lang w:val="en-US" w:eastAsia="zh-CN" w:bidi="ar"/>
              </w:rPr>
              <w:t>伤复位。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每处骨折</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lang w:val="en-US"/>
              </w:rPr>
            </w:pPr>
            <w:r>
              <w:rPr>
                <w:rFonts w:hint="eastAsia" w:ascii="宋体" w:hAnsi="宋体" w:eastAsia="宋体" w:cs="宋体"/>
                <w:i w:val="0"/>
                <w:iCs w:val="0"/>
                <w:color w:val="000000"/>
                <w:kern w:val="0"/>
                <w:sz w:val="22"/>
                <w:szCs w:val="22"/>
                <w:u w:val="none"/>
                <w:lang w:val="en-US" w:eastAsia="zh-CN" w:bidi="ar"/>
              </w:rPr>
              <w:t>100</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90</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85</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bCs/>
                <w:i w:val="0"/>
                <w:iCs w:val="0"/>
                <w:color w:val="000000"/>
                <w:kern w:val="2"/>
                <w:sz w:val="20"/>
                <w:szCs w:val="20"/>
              </w:rPr>
            </w:pP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99"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014300000050000</w:t>
            </w:r>
          </w:p>
        </w:tc>
        <w:tc>
          <w:tcPr>
            <w:tcW w:w="164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小夹板固定术</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通过小夹板等各种外固定方式对骨折部位进行包扎固定。</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所定价格涵盖摆位、固定等步骤所需的人力资源和基本物质资源消耗。</w:t>
            </w: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部位</w:t>
            </w:r>
          </w:p>
        </w:tc>
        <w:tc>
          <w:tcPr>
            <w:tcW w:w="940" w:type="dxa"/>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190</w:t>
            </w:r>
          </w:p>
        </w:tc>
        <w:tc>
          <w:tcPr>
            <w:tcW w:w="942" w:type="dxa"/>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171</w:t>
            </w:r>
          </w:p>
        </w:tc>
        <w:tc>
          <w:tcPr>
            <w:tcW w:w="941" w:type="dxa"/>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162</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30"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014300000050001</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小夹板固定术-儿童（加收）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通过小夹板等各种外固定方式对儿童骨折部位进行包扎固定。</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000000"/>
                <w:kern w:val="2"/>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部位</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2"/>
                <w:sz w:val="20"/>
                <w:szCs w:val="20"/>
                <w:lang w:val="en-US" w:eastAsia="zh-CN" w:bidi="ar-SA"/>
              </w:rPr>
            </w:pPr>
            <w:r>
              <w:rPr>
                <w:rFonts w:hint="eastAsia" w:ascii="宋体" w:hAnsi="宋体" w:eastAsia="宋体" w:cs="宋体"/>
                <w:i w:val="0"/>
                <w:iCs w:val="0"/>
                <w:color w:val="000000"/>
                <w:kern w:val="0"/>
                <w:sz w:val="22"/>
                <w:szCs w:val="22"/>
                <w:u w:val="none"/>
                <w:lang w:val="en-US" w:eastAsia="zh-CN" w:bidi="ar"/>
              </w:rPr>
              <w:t>57</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51</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49</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9"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86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014300000060000</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小夹板调整术</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根据患者复诊情况对小夹板等外固定装置进行调整。</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所定价格涵盖观察、调整等步骤所需的人力资源和基本物质资源消耗。</w:t>
            </w:r>
          </w:p>
        </w:tc>
        <w:tc>
          <w:tcPr>
            <w:tcW w:w="5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部位</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38</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34</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32</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1"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014300000060001</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小夹板调整术-儿童（加收）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根据儿童患者复诊情况对小夹板等外固定装置进行调整。</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000000"/>
                <w:kern w:val="2"/>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部位</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lang w:val="en-US" w:eastAsia="zh-CN" w:bidi="ar-SA"/>
              </w:rPr>
            </w:pPr>
            <w:r>
              <w:rPr>
                <w:rFonts w:hint="eastAsia" w:ascii="宋体" w:hAnsi="宋体" w:eastAsia="宋体" w:cs="宋体"/>
                <w:i w:val="0"/>
                <w:iCs w:val="0"/>
                <w:color w:val="000000"/>
                <w:kern w:val="0"/>
                <w:sz w:val="22"/>
                <w:szCs w:val="22"/>
                <w:u w:val="none"/>
                <w:lang w:val="en-US" w:eastAsia="zh-CN" w:bidi="ar"/>
              </w:rPr>
              <w:t>11.4</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10.2</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9.6</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4"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7</w:t>
            </w: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014300000070000</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中医复位内固定术</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使用各种针具、钉具，以内固定方式复位固定骨折部位。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所定价格涵盖摆位、消毒、进针、牵拉复位、撬拨、包扎固定等步骤所需的人力资源和基本物质资源消耗。</w:t>
            </w: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每处骨折</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491</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442</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417</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014300000070001</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中医复位内固定术-儿童（加收）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000000"/>
                <w:spacing w:val="-6"/>
                <w:kern w:val="2"/>
                <w:sz w:val="20"/>
                <w:szCs w:val="20"/>
              </w:rPr>
            </w:pPr>
            <w:r>
              <w:rPr>
                <w:rFonts w:hint="eastAsia" w:ascii="宋体" w:hAnsi="宋体" w:eastAsia="宋体" w:cs="宋体"/>
                <w:i w:val="0"/>
                <w:iCs w:val="0"/>
                <w:color w:val="000000"/>
                <w:spacing w:val="-6"/>
                <w:kern w:val="0"/>
                <w:sz w:val="20"/>
                <w:szCs w:val="20"/>
                <w:lang w:val="en-US" w:eastAsia="zh-CN" w:bidi="ar"/>
              </w:rPr>
              <w:t>使用各种针具、钉具，以内固定方式复位固定儿童骨折部位。</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000000"/>
                <w:kern w:val="2"/>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每处骨折</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lang w:val="en-US"/>
              </w:rPr>
            </w:pPr>
            <w:r>
              <w:rPr>
                <w:rFonts w:hint="eastAsia" w:ascii="宋体" w:hAnsi="宋体" w:eastAsia="宋体" w:cs="宋体"/>
                <w:i w:val="0"/>
                <w:iCs w:val="0"/>
                <w:color w:val="000000"/>
                <w:kern w:val="0"/>
                <w:sz w:val="22"/>
                <w:szCs w:val="22"/>
                <w:u w:val="none"/>
                <w:lang w:val="en-US" w:eastAsia="zh-CN" w:bidi="ar"/>
              </w:rPr>
              <w:t>147</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133</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125</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59"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8</w:t>
            </w: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014300000080000</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手法松解术</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000000"/>
                <w:spacing w:val="-6"/>
                <w:kern w:val="2"/>
                <w:sz w:val="20"/>
                <w:szCs w:val="20"/>
              </w:rPr>
            </w:pPr>
            <w:r>
              <w:rPr>
                <w:rFonts w:hint="eastAsia" w:ascii="宋体" w:hAnsi="宋体" w:eastAsia="宋体" w:cs="宋体"/>
                <w:i w:val="0"/>
                <w:iCs w:val="0"/>
                <w:color w:val="000000"/>
                <w:spacing w:val="-6"/>
                <w:kern w:val="0"/>
                <w:sz w:val="20"/>
                <w:szCs w:val="20"/>
                <w:lang w:val="en-US" w:eastAsia="zh-CN" w:bidi="ar"/>
              </w:rPr>
              <w:t>通过理筋、松筋、弹拨等手法疏通经络、松解粘连、滑利关节。</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所定价格涵盖摆位、手法疏通等步骤，以及必要时使用辅助器械所需的人力资源和基本物质资源消耗。</w:t>
            </w: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152</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137</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129</w:t>
            </w:r>
          </w:p>
        </w:tc>
        <w:tc>
          <w:tcPr>
            <w:tcW w:w="254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不与同部位中医推拿同时收费。</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5"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b w:val="0"/>
                <w:bCs w:val="0"/>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014300000080001</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手法松解术-儿童（加收）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通过理筋、松筋、弹拨等手法疏通儿童经络、松解粘连、滑利关节。</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0"/>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rPr>
            </w:pPr>
            <w:r>
              <w:rPr>
                <w:rFonts w:hint="eastAsia" w:ascii="宋体" w:hAnsi="宋体" w:eastAsia="宋体" w:cs="宋体"/>
                <w:i w:val="0"/>
                <w:iCs w:val="0"/>
                <w:color w:val="000000"/>
                <w:kern w:val="0"/>
                <w:sz w:val="22"/>
                <w:szCs w:val="22"/>
                <w:u w:val="none"/>
                <w:lang w:val="en-US" w:eastAsia="zh-CN" w:bidi="ar"/>
              </w:rPr>
              <w:t>46</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41</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39</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0"/>
                <w:sz w:val="20"/>
                <w:szCs w:val="20"/>
              </w:rPr>
            </w:pP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1</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9" w:hRule="atLeast"/>
          <w:jc w:val="center"/>
        </w:trPr>
        <w:tc>
          <w:tcPr>
            <w:tcW w:w="50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9</w:t>
            </w: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014300000090000</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手法挤压术</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通过抚触挤压腱鞘囊肿，使囊肿破裂。</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所定价格涵盖定位、抚触、挤压等步骤所需的人力资源和基本物质资源消耗。</w:t>
            </w: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48</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43</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41</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0"/>
                <w:sz w:val="20"/>
                <w:szCs w:val="20"/>
              </w:rPr>
            </w:pP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5" w:hRule="atLeast"/>
          <w:jc w:val="center"/>
        </w:trPr>
        <w:tc>
          <w:tcPr>
            <w:tcW w:w="503" w:type="dxa"/>
            <w:vMerge w:val="continue"/>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Times New Roman" w:hAnsi="Times New Roman" w:cs="Times New Roman"/>
                <w:sz w:val="20"/>
                <w:szCs w:val="20"/>
              </w:rPr>
            </w:pPr>
          </w:p>
        </w:tc>
        <w:tc>
          <w:tcPr>
            <w:tcW w:w="18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014300000090001</w:t>
            </w:r>
          </w:p>
        </w:tc>
        <w:tc>
          <w:tcPr>
            <w:tcW w:w="164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手法挤压术-儿童（加收）</w:t>
            </w:r>
          </w:p>
        </w:tc>
        <w:tc>
          <w:tcPr>
            <w:tcW w:w="193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通过抚触挤压儿童腱鞘囊肿，使囊肿破裂。</w:t>
            </w:r>
          </w:p>
        </w:tc>
        <w:tc>
          <w:tcPr>
            <w:tcW w:w="25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0"/>
                <w:sz w:val="20"/>
                <w:szCs w:val="20"/>
              </w:rPr>
            </w:pPr>
          </w:p>
        </w:tc>
        <w:tc>
          <w:tcPr>
            <w:tcW w:w="58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94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rPr>
            </w:pPr>
            <w:r>
              <w:rPr>
                <w:rFonts w:hint="eastAsia" w:ascii="宋体" w:hAnsi="宋体" w:eastAsia="宋体" w:cs="宋体"/>
                <w:i w:val="0"/>
                <w:iCs w:val="0"/>
                <w:color w:val="000000"/>
                <w:kern w:val="0"/>
                <w:sz w:val="22"/>
                <w:szCs w:val="22"/>
                <w:u w:val="none"/>
                <w:lang w:val="en-US" w:eastAsia="zh-CN" w:bidi="ar"/>
              </w:rPr>
              <w:t>14.4</w:t>
            </w:r>
          </w:p>
        </w:tc>
        <w:tc>
          <w:tcPr>
            <w:tcW w:w="94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12.9</w:t>
            </w:r>
          </w:p>
        </w:tc>
        <w:tc>
          <w:tcPr>
            <w:tcW w:w="941"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12.3</w:t>
            </w:r>
          </w:p>
        </w:tc>
        <w:tc>
          <w:tcPr>
            <w:tcW w:w="2549"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0"/>
                <w:sz w:val="20"/>
                <w:szCs w:val="20"/>
              </w:rPr>
            </w:pP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w:t>
            </w:r>
          </w:p>
        </w:tc>
        <w:tc>
          <w:tcPr>
            <w:tcW w:w="63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bl>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Times New Roman" w:hAnsi="Times New Roman" w:eastAsia="方正黑体_GBK" w:cs="Times New Roman"/>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r>
        <w:rPr>
          <w:rFonts w:hint="eastAsia" w:ascii="黑体" w:hAnsi="黑体" w:eastAsia="黑体" w:cs="黑体"/>
          <w:b w:val="0"/>
          <w:bCs w:val="0"/>
          <w:kern w:val="2"/>
          <w:sz w:val="32"/>
          <w:szCs w:val="32"/>
          <w:lang w:val="en-US" w:eastAsia="zh-CN" w:bidi="ar"/>
        </w:rPr>
        <w:t>附件4</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jc w:val="center"/>
        <w:textAlignment w:val="auto"/>
        <w:rPr>
          <w:rFonts w:hint="eastAsia" w:ascii="方正小标宋_GBK" w:hAnsi="方正小标宋_GBK" w:eastAsia="方正小标宋_GBK" w:cs="方正小标宋_GBK"/>
          <w:b w:val="0"/>
          <w:bCs w:val="0"/>
          <w:kern w:val="2"/>
          <w:sz w:val="44"/>
          <w:szCs w:val="44"/>
          <w:lang w:val="en-US" w:eastAsia="zh-CN" w:bidi="ar"/>
        </w:rPr>
      </w:pPr>
      <w:r>
        <w:rPr>
          <w:rFonts w:hint="eastAsia" w:ascii="宋体" w:hAnsi="宋体" w:eastAsia="宋体" w:cs="宋体"/>
          <w:b/>
          <w:bCs/>
          <w:kern w:val="2"/>
          <w:sz w:val="44"/>
          <w:szCs w:val="44"/>
          <w:lang w:val="en-US" w:eastAsia="zh-CN" w:bidi="ar"/>
        </w:rPr>
        <w:t>整合后中医特殊疗法类医疗服务价格项目表</w:t>
      </w:r>
    </w:p>
    <w:p>
      <w:pPr>
        <w:keepNext w:val="0"/>
        <w:keepLines w:val="0"/>
        <w:widowControl/>
        <w:suppressLineNumbers w:val="0"/>
        <w:autoSpaceDE w:val="0"/>
        <w:autoSpaceDN/>
        <w:spacing w:before="0" w:beforeAutospacing="0" w:after="0" w:afterAutospacing="0" w:line="300" w:lineRule="exact"/>
        <w:ind w:left="0" w:right="0"/>
        <w:jc w:val="left"/>
        <w:textAlignment w:val="center"/>
        <w:rPr>
          <w:rFonts w:hint="eastAsia" w:ascii="仿宋" w:hAnsi="仿宋" w:eastAsia="仿宋" w:cs="仿宋"/>
          <w:b/>
          <w:bCs/>
          <w:i w:val="0"/>
          <w:iCs w:val="0"/>
          <w:color w:val="000000"/>
          <w:kern w:val="0"/>
          <w:sz w:val="24"/>
          <w:szCs w:val="24"/>
        </w:rPr>
      </w:pPr>
      <w:r>
        <w:rPr>
          <w:rFonts w:hint="eastAsia" w:ascii="仿宋" w:hAnsi="仿宋" w:eastAsia="仿宋" w:cs="仿宋"/>
          <w:b/>
          <w:bCs/>
          <w:i w:val="0"/>
          <w:iCs w:val="0"/>
          <w:color w:val="000000"/>
          <w:kern w:val="0"/>
          <w:sz w:val="24"/>
          <w:szCs w:val="24"/>
          <w:lang w:val="en-US" w:eastAsia="zh-CN" w:bidi="ar"/>
        </w:rPr>
        <w:t>使用说明：</w:t>
      </w:r>
    </w:p>
    <w:p>
      <w:pPr>
        <w:keepNext w:val="0"/>
        <w:keepLines w:val="0"/>
        <w:widowControl/>
        <w:suppressLineNumbers w:val="0"/>
        <w:autoSpaceDE w:val="0"/>
        <w:autoSpaceDN/>
        <w:spacing w:before="0" w:beforeAutospacing="0" w:after="0" w:afterAutospacing="0" w:line="30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1.“价格构成”指项目价格应涵盖的各类资源消耗，用于确定计价单元的边界，是各级医疗保障部门制定调整项目价格考虑的测算因子，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widowControl/>
        <w:suppressLineNumbers w:val="0"/>
        <w:autoSpaceDE w:val="0"/>
        <w:autoSpaceDN/>
        <w:spacing w:before="0" w:beforeAutospacing="0" w:after="0" w:afterAutospacing="0" w:line="30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2.“加收项”指同一项目以不同方式提供或在不同场景应用时，确有必要制定差异化收费标准而细分的一类子项。</w:t>
      </w:r>
    </w:p>
    <w:p>
      <w:pPr>
        <w:keepNext w:val="0"/>
        <w:keepLines w:val="0"/>
        <w:widowControl/>
        <w:suppressLineNumbers w:val="0"/>
        <w:autoSpaceDE w:val="0"/>
        <w:autoSpaceDN/>
        <w:spacing w:before="0" w:beforeAutospacing="0" w:after="0" w:afterAutospacing="0" w:line="30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3.“基本物耗”指原则上限于不应或不必要与医疗服务项目分割的易耗品，包括但不限于各类消杀灭菌用品、标签、储存用品、清洁用品、个人防护用品、垃圾处理用品、冲洗液、润滑剂、棉球、棉签、纱布（垫）、护（尿）垫、手术巾（单）、治疗巾（单）、中单、治疗护理盘(包）、手术包、注射器、防渗漏垫、悬吊巾、压垫、棉垫、可复用的操作器具、各种针具刀具等。基本物耗成本计入项目价格，不另行收费。</w:t>
      </w:r>
    </w:p>
    <w:p>
      <w:pPr>
        <w:keepNext w:val="0"/>
        <w:keepLines w:val="0"/>
        <w:widowControl/>
        <w:suppressLineNumbers w:val="0"/>
        <w:autoSpaceDE w:val="0"/>
        <w:autoSpaceDN/>
        <w:spacing w:before="0" w:beforeAutospacing="0" w:after="0" w:afterAutospacing="0" w:line="300" w:lineRule="exact"/>
        <w:ind w:left="0" w:right="0"/>
        <w:jc w:val="left"/>
        <w:textAlignment w:val="center"/>
        <w:rPr>
          <w:rFonts w:hint="eastAsia" w:ascii="仿宋" w:hAnsi="仿宋" w:eastAsia="仿宋" w:cs="仿宋"/>
          <w:b w:val="0"/>
          <w:bCs w:val="0"/>
          <w:i w:val="0"/>
          <w:iCs w:val="0"/>
          <w:color w:val="000000"/>
          <w:kern w:val="0"/>
          <w:sz w:val="24"/>
          <w:szCs w:val="24"/>
        </w:rPr>
      </w:pPr>
      <w:r>
        <w:rPr>
          <w:rFonts w:hint="eastAsia" w:ascii="仿宋" w:hAnsi="仿宋" w:eastAsia="仿宋" w:cs="仿宋"/>
          <w:b w:val="0"/>
          <w:bCs w:val="0"/>
          <w:i w:val="0"/>
          <w:iCs w:val="0"/>
          <w:color w:val="000000"/>
          <w:kern w:val="0"/>
          <w:sz w:val="24"/>
          <w:szCs w:val="24"/>
          <w:lang w:val="en-US" w:eastAsia="zh-CN" w:bidi="ar"/>
        </w:rPr>
        <w:t xml:space="preserve">4.“儿童”指6周岁及以下。周岁的计算方法以法律的相关规定为准。 </w:t>
      </w:r>
    </w:p>
    <w:p>
      <w:pPr>
        <w:keepNext w:val="0"/>
        <w:keepLines w:val="0"/>
        <w:widowControl/>
        <w:suppressLineNumbers w:val="0"/>
        <w:autoSpaceDE w:val="0"/>
        <w:autoSpaceDN/>
        <w:spacing w:before="0" w:beforeAutospacing="0" w:after="0" w:afterAutospacing="0" w:line="300" w:lineRule="exact"/>
        <w:ind w:left="0" w:right="0"/>
        <w:jc w:val="left"/>
        <w:textAlignment w:val="center"/>
        <w:rPr>
          <w:rFonts w:hint="eastAsia" w:ascii="仿宋" w:hAnsi="仿宋" w:eastAsia="仿宋" w:cs="仿宋"/>
          <w:b w:val="0"/>
          <w:bCs w:val="0"/>
          <w:i w:val="0"/>
          <w:iCs w:val="0"/>
          <w:color w:val="000000"/>
          <w:kern w:val="0"/>
          <w:sz w:val="24"/>
          <w:szCs w:val="24"/>
          <w:lang w:val="en-US" w:eastAsia="zh-CN" w:bidi="ar"/>
        </w:rPr>
      </w:pPr>
      <w:r>
        <w:rPr>
          <w:rFonts w:hint="eastAsia" w:ascii="仿宋" w:hAnsi="仿宋" w:eastAsia="仿宋" w:cs="仿宋"/>
          <w:b w:val="0"/>
          <w:bCs w:val="0"/>
          <w:i w:val="0"/>
          <w:iCs w:val="0"/>
          <w:color w:val="000000"/>
          <w:kern w:val="0"/>
          <w:sz w:val="24"/>
          <w:szCs w:val="24"/>
          <w:lang w:val="en-US" w:eastAsia="zh-CN" w:bidi="ar"/>
        </w:rPr>
        <w:t>5.涉及“包括……”“……等”的，属于开放型表述，所指对象不仅局限于表述中列明的事项，也包括未列明的同类事项，以国家级技术规范、临床指南或专家共识中的明确定性为依据。</w:t>
      </w:r>
    </w:p>
    <w:tbl>
      <w:tblPr>
        <w:tblStyle w:val="7"/>
        <w:tblW w:w="158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8"/>
        <w:gridCol w:w="1935"/>
        <w:gridCol w:w="1377"/>
        <w:gridCol w:w="2149"/>
        <w:gridCol w:w="2635"/>
        <w:gridCol w:w="614"/>
        <w:gridCol w:w="1009"/>
        <w:gridCol w:w="927"/>
        <w:gridCol w:w="968"/>
        <w:gridCol w:w="2482"/>
        <w:gridCol w:w="557"/>
        <w:gridCol w:w="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blHeader/>
          <w:jc w:val="center"/>
        </w:trPr>
        <w:tc>
          <w:tcPr>
            <w:tcW w:w="578" w:type="dxa"/>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序号</w:t>
            </w:r>
          </w:p>
        </w:tc>
        <w:tc>
          <w:tcPr>
            <w:tcW w:w="193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项目代码</w:t>
            </w:r>
          </w:p>
        </w:tc>
        <w:tc>
          <w:tcPr>
            <w:tcW w:w="1377"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项目名称</w:t>
            </w:r>
          </w:p>
        </w:tc>
        <w:tc>
          <w:tcPr>
            <w:tcW w:w="2149"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服务产出</w:t>
            </w:r>
          </w:p>
        </w:tc>
        <w:tc>
          <w:tcPr>
            <w:tcW w:w="263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价格构成</w:t>
            </w:r>
          </w:p>
        </w:tc>
        <w:tc>
          <w:tcPr>
            <w:tcW w:w="614"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计价单位</w:t>
            </w:r>
          </w:p>
        </w:tc>
        <w:tc>
          <w:tcPr>
            <w:tcW w:w="2904" w:type="dxa"/>
            <w:gridSpan w:val="3"/>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2"/>
                <w:szCs w:val="22"/>
                <w:lang w:val="en-US" w:eastAsia="zh-CN" w:bidi="ar"/>
              </w:rPr>
            </w:pPr>
            <w:r>
              <w:rPr>
                <w:rFonts w:hint="eastAsia" w:ascii="宋体" w:hAnsi="宋体" w:eastAsia="宋体" w:cs="宋体"/>
                <w:b/>
                <w:bCs/>
                <w:kern w:val="0"/>
                <w:sz w:val="18"/>
                <w:szCs w:val="18"/>
              </w:rPr>
              <w:t>价格（元）</w:t>
            </w:r>
          </w:p>
        </w:tc>
        <w:tc>
          <w:tcPr>
            <w:tcW w:w="2482"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计价说明</w:t>
            </w:r>
          </w:p>
        </w:tc>
        <w:tc>
          <w:tcPr>
            <w:tcW w:w="557"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支付分类</w:t>
            </w:r>
          </w:p>
        </w:tc>
        <w:tc>
          <w:tcPr>
            <w:tcW w:w="57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22"/>
                <w:szCs w:val="22"/>
                <w:lang w:val="en-US" w:eastAsia="zh-CN" w:bidi="ar"/>
              </w:rPr>
            </w:pPr>
            <w:r>
              <w:rPr>
                <w:rFonts w:hint="eastAsia" w:ascii="宋体" w:hAnsi="宋体" w:eastAsia="宋体" w:cs="宋体"/>
                <w:b/>
                <w:bCs/>
                <w:i w:val="0"/>
                <w:iCs w:val="0"/>
                <w:color w:val="000000"/>
                <w:kern w:val="0"/>
                <w:sz w:val="22"/>
                <w:szCs w:val="22"/>
                <w:lang w:val="en-US" w:eastAsia="zh-CN" w:bidi="ar"/>
              </w:rPr>
              <w:t>统计分类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blHeader/>
          <w:jc w:val="center"/>
        </w:trPr>
        <w:tc>
          <w:tcPr>
            <w:tcW w:w="578" w:type="dxa"/>
            <w:vMerge w:val="continue"/>
            <w:tcBorders>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1935"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1377"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2149"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2635"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614"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1009" w:type="dxa"/>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color w:val="000000"/>
                <w:kern w:val="0"/>
                <w:sz w:val="20"/>
                <w:szCs w:val="20"/>
              </w:rPr>
              <w:t>三级公立医疗机构</w:t>
            </w:r>
          </w:p>
        </w:tc>
        <w:tc>
          <w:tcPr>
            <w:tcW w:w="927" w:type="dxa"/>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color w:val="000000"/>
                <w:kern w:val="0"/>
                <w:sz w:val="20"/>
                <w:szCs w:val="20"/>
              </w:rPr>
              <w:t>二级公立医疗机构</w:t>
            </w:r>
          </w:p>
        </w:tc>
        <w:tc>
          <w:tcPr>
            <w:tcW w:w="968" w:type="dxa"/>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color w:val="000000"/>
                <w:kern w:val="0"/>
                <w:sz w:val="20"/>
                <w:szCs w:val="20"/>
              </w:rPr>
              <w:t>一级公立医疗机构</w:t>
            </w:r>
          </w:p>
        </w:tc>
        <w:tc>
          <w:tcPr>
            <w:tcW w:w="2482"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000000"/>
                <w:kern w:val="0"/>
                <w:sz w:val="22"/>
                <w:szCs w:val="22"/>
                <w:lang w:val="en-US" w:eastAsia="zh-CN" w:bidi="ar"/>
              </w:rPr>
            </w:pPr>
          </w:p>
        </w:tc>
        <w:tc>
          <w:tcPr>
            <w:tcW w:w="557"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575" w:type="dxa"/>
            <w:vMerge w:val="continue"/>
            <w:tcBorders>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22"/>
                <w:szCs w:val="22"/>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78" w:type="dxa"/>
            <w:vMerge w:val="restart"/>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193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014600000010000</w:t>
            </w:r>
          </w:p>
        </w:tc>
        <w:tc>
          <w:tcPr>
            <w:tcW w:w="137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针刀（钩活）疗法</w:t>
            </w:r>
          </w:p>
        </w:tc>
        <w:tc>
          <w:tcPr>
            <w:tcW w:w="214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使用针刀、铍针、刃针等各种针刀具，对病变组织松解剥离，起到缓解症状或治疗疾病的作用。</w:t>
            </w:r>
          </w:p>
        </w:tc>
        <w:tc>
          <w:tcPr>
            <w:tcW w:w="26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所定价格涵盖定位、穿刺、剥离、包扎等人力资源和基本物质资源消耗。</w:t>
            </w:r>
          </w:p>
        </w:tc>
        <w:tc>
          <w:tcPr>
            <w:tcW w:w="614"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部位</w:t>
            </w:r>
          </w:p>
        </w:tc>
        <w:tc>
          <w:tcPr>
            <w:tcW w:w="100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68</w:t>
            </w:r>
          </w:p>
        </w:tc>
        <w:tc>
          <w:tcPr>
            <w:tcW w:w="92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62</w:t>
            </w:r>
          </w:p>
        </w:tc>
        <w:tc>
          <w:tcPr>
            <w:tcW w:w="968"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58</w:t>
            </w:r>
          </w:p>
        </w:tc>
        <w:tc>
          <w:tcPr>
            <w:tcW w:w="248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5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7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22"/>
                <w:szCs w:val="22"/>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78"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93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014600000010001</w:t>
            </w:r>
          </w:p>
        </w:tc>
        <w:tc>
          <w:tcPr>
            <w:tcW w:w="137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针刀（钩活）疗法-脊柱针刀疗法（加收）</w:t>
            </w:r>
          </w:p>
        </w:tc>
        <w:tc>
          <w:tcPr>
            <w:tcW w:w="214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使用针刀、铍针、刃针等各种针刀具，对脊柱病变组织松解剥离，起到缓解症状或治疗疾病的作用。</w:t>
            </w:r>
          </w:p>
        </w:tc>
        <w:tc>
          <w:tcPr>
            <w:tcW w:w="26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14"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部位</w:t>
            </w:r>
          </w:p>
        </w:tc>
        <w:tc>
          <w:tcPr>
            <w:tcW w:w="100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lang w:val="en-US"/>
              </w:rPr>
            </w:pPr>
            <w:r>
              <w:rPr>
                <w:rFonts w:hint="eastAsia" w:ascii="宋体" w:hAnsi="宋体" w:eastAsia="宋体" w:cs="宋体"/>
                <w:i w:val="0"/>
                <w:iCs w:val="0"/>
                <w:color w:val="000000"/>
                <w:kern w:val="0"/>
                <w:sz w:val="22"/>
                <w:szCs w:val="22"/>
                <w:u w:val="none"/>
                <w:lang w:val="en-US" w:eastAsia="zh-CN" w:bidi="ar"/>
              </w:rPr>
              <w:t>20.4</w:t>
            </w:r>
          </w:p>
        </w:tc>
        <w:tc>
          <w:tcPr>
            <w:tcW w:w="92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18.6</w:t>
            </w:r>
          </w:p>
        </w:tc>
        <w:tc>
          <w:tcPr>
            <w:tcW w:w="968"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17.4</w:t>
            </w:r>
          </w:p>
        </w:tc>
        <w:tc>
          <w:tcPr>
            <w:tcW w:w="248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5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7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bl>
    <w:p>
      <w:pPr>
        <w:pStyle w:val="2"/>
        <w:rPr>
          <w:rFonts w:hint="eastAsia"/>
        </w:rPr>
      </w:pPr>
    </w:p>
    <w:tbl>
      <w:tblPr>
        <w:tblStyle w:val="7"/>
        <w:tblW w:w="158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8"/>
        <w:gridCol w:w="1935"/>
        <w:gridCol w:w="1377"/>
        <w:gridCol w:w="2149"/>
        <w:gridCol w:w="2635"/>
        <w:gridCol w:w="614"/>
        <w:gridCol w:w="1009"/>
        <w:gridCol w:w="927"/>
        <w:gridCol w:w="968"/>
        <w:gridCol w:w="2482"/>
        <w:gridCol w:w="566"/>
        <w:gridCol w:w="5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tblHeader/>
          <w:jc w:val="center"/>
        </w:trPr>
        <w:tc>
          <w:tcPr>
            <w:tcW w:w="578" w:type="dxa"/>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序号</w:t>
            </w:r>
          </w:p>
        </w:tc>
        <w:tc>
          <w:tcPr>
            <w:tcW w:w="193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项目代码</w:t>
            </w:r>
          </w:p>
        </w:tc>
        <w:tc>
          <w:tcPr>
            <w:tcW w:w="1377"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项目名称</w:t>
            </w:r>
          </w:p>
        </w:tc>
        <w:tc>
          <w:tcPr>
            <w:tcW w:w="2149"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服务产出</w:t>
            </w:r>
          </w:p>
        </w:tc>
        <w:tc>
          <w:tcPr>
            <w:tcW w:w="2635"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价格构成</w:t>
            </w:r>
          </w:p>
        </w:tc>
        <w:tc>
          <w:tcPr>
            <w:tcW w:w="614"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计价单位</w:t>
            </w:r>
          </w:p>
        </w:tc>
        <w:tc>
          <w:tcPr>
            <w:tcW w:w="2904" w:type="dxa"/>
            <w:gridSpan w:val="3"/>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2"/>
                <w:szCs w:val="22"/>
                <w:lang w:val="en-US" w:eastAsia="zh-CN" w:bidi="ar"/>
              </w:rPr>
            </w:pPr>
            <w:r>
              <w:rPr>
                <w:rFonts w:hint="eastAsia" w:ascii="宋体" w:hAnsi="宋体" w:eastAsia="宋体" w:cs="宋体"/>
                <w:b/>
                <w:bCs/>
                <w:kern w:val="0"/>
                <w:sz w:val="18"/>
                <w:szCs w:val="18"/>
              </w:rPr>
              <w:t>价格（元）</w:t>
            </w:r>
          </w:p>
        </w:tc>
        <w:tc>
          <w:tcPr>
            <w:tcW w:w="2482"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计价说明</w:t>
            </w:r>
          </w:p>
        </w:tc>
        <w:tc>
          <w:tcPr>
            <w:tcW w:w="566"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支付分类</w:t>
            </w:r>
          </w:p>
        </w:tc>
        <w:tc>
          <w:tcPr>
            <w:tcW w:w="566" w:type="dxa"/>
            <w:vMerge w:val="restart"/>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lang w:val="en-US" w:eastAsia="zh-CN" w:bidi="ar"/>
              </w:rPr>
            </w:pPr>
            <w:r>
              <w:rPr>
                <w:rFonts w:hint="eastAsia" w:ascii="宋体" w:hAnsi="宋体" w:eastAsia="宋体" w:cs="宋体"/>
                <w:b/>
                <w:bCs/>
                <w:i w:val="0"/>
                <w:iCs w:val="0"/>
                <w:color w:val="000000"/>
                <w:kern w:val="0"/>
                <w:sz w:val="22"/>
                <w:szCs w:val="22"/>
                <w:lang w:val="en-US" w:eastAsia="zh-CN" w:bidi="ar"/>
              </w:rPr>
              <w:t>统计分类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blHeader/>
          <w:jc w:val="center"/>
        </w:trPr>
        <w:tc>
          <w:tcPr>
            <w:tcW w:w="578" w:type="dxa"/>
            <w:vMerge w:val="continue"/>
            <w:tcBorders>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1935"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1377"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2149"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2635"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614"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1009" w:type="dxa"/>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color w:val="000000"/>
                <w:kern w:val="0"/>
                <w:sz w:val="20"/>
                <w:szCs w:val="20"/>
              </w:rPr>
              <w:t>三级公立医疗机构</w:t>
            </w:r>
          </w:p>
        </w:tc>
        <w:tc>
          <w:tcPr>
            <w:tcW w:w="927" w:type="dxa"/>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color w:val="000000"/>
                <w:kern w:val="0"/>
                <w:sz w:val="20"/>
                <w:szCs w:val="20"/>
              </w:rPr>
              <w:t>二级公立医疗机构</w:t>
            </w:r>
          </w:p>
        </w:tc>
        <w:tc>
          <w:tcPr>
            <w:tcW w:w="968" w:type="dxa"/>
            <w:tcBorders>
              <w:top w:val="single" w:color="000000" w:sz="4" w:space="0"/>
              <w:left w:val="nil"/>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color w:val="000000"/>
                <w:kern w:val="0"/>
                <w:sz w:val="20"/>
                <w:szCs w:val="20"/>
              </w:rPr>
              <w:t>一级公立医疗机构</w:t>
            </w:r>
          </w:p>
        </w:tc>
        <w:tc>
          <w:tcPr>
            <w:tcW w:w="2482"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566" w:type="dxa"/>
            <w:vMerge w:val="continue"/>
            <w:tcBorders>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c>
          <w:tcPr>
            <w:tcW w:w="566" w:type="dxa"/>
            <w:vMerge w:val="continue"/>
            <w:tcBorders>
              <w:left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4" w:hRule="atLeast"/>
          <w:jc w:val="center"/>
        </w:trPr>
        <w:tc>
          <w:tcPr>
            <w:tcW w:w="578"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93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014600000020000</w:t>
            </w:r>
          </w:p>
        </w:tc>
        <w:tc>
          <w:tcPr>
            <w:tcW w:w="137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点穴疗法</w:t>
            </w:r>
          </w:p>
        </w:tc>
        <w:tc>
          <w:tcPr>
            <w:tcW w:w="214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通过对穴位或局部点压施术，起到缓解症状或治疗疾病的作用。</w:t>
            </w:r>
          </w:p>
        </w:tc>
        <w:tc>
          <w:tcPr>
            <w:tcW w:w="26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所定价格涵盖定位、施压等人力资源和基本物质资源消耗。</w:t>
            </w:r>
          </w:p>
        </w:tc>
        <w:tc>
          <w:tcPr>
            <w:tcW w:w="614"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100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26</w:t>
            </w:r>
          </w:p>
        </w:tc>
        <w:tc>
          <w:tcPr>
            <w:tcW w:w="92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23</w:t>
            </w:r>
          </w:p>
        </w:tc>
        <w:tc>
          <w:tcPr>
            <w:tcW w:w="968"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22</w:t>
            </w:r>
          </w:p>
        </w:tc>
        <w:tc>
          <w:tcPr>
            <w:tcW w:w="248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1</w:t>
            </w: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7" w:hRule="atLeast"/>
          <w:jc w:val="center"/>
        </w:trPr>
        <w:tc>
          <w:tcPr>
            <w:tcW w:w="578" w:type="dxa"/>
            <w:vMerge w:val="restart"/>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93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014600000030000</w:t>
            </w:r>
          </w:p>
        </w:tc>
        <w:tc>
          <w:tcPr>
            <w:tcW w:w="137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中医烙法</w:t>
            </w:r>
          </w:p>
        </w:tc>
        <w:tc>
          <w:tcPr>
            <w:tcW w:w="214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通过烙具烙烫病变部位，起到缓解症状或治疗疾病的作用。</w:t>
            </w:r>
          </w:p>
        </w:tc>
        <w:tc>
          <w:tcPr>
            <w:tcW w:w="26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所定价格涵盖定位、消毒、烙烫等人力资源和基本物质资源消耗。</w:t>
            </w:r>
          </w:p>
        </w:tc>
        <w:tc>
          <w:tcPr>
            <w:tcW w:w="614"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100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133</w:t>
            </w:r>
          </w:p>
        </w:tc>
        <w:tc>
          <w:tcPr>
            <w:tcW w:w="92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120</w:t>
            </w:r>
          </w:p>
        </w:tc>
        <w:tc>
          <w:tcPr>
            <w:tcW w:w="968"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113</w:t>
            </w:r>
          </w:p>
        </w:tc>
        <w:tc>
          <w:tcPr>
            <w:tcW w:w="248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3</w:t>
            </w: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78"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93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014600000030001</w:t>
            </w:r>
          </w:p>
        </w:tc>
        <w:tc>
          <w:tcPr>
            <w:tcW w:w="137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中医烙法-儿童（加收）</w:t>
            </w:r>
          </w:p>
        </w:tc>
        <w:tc>
          <w:tcPr>
            <w:tcW w:w="214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通过烙具烙烫病儿童变部位，起到缓解症状或治疗疾病的作用。</w:t>
            </w:r>
          </w:p>
        </w:tc>
        <w:tc>
          <w:tcPr>
            <w:tcW w:w="26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614"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100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lang w:val="en-US"/>
              </w:rPr>
            </w:pPr>
            <w:r>
              <w:rPr>
                <w:rFonts w:hint="eastAsia" w:ascii="宋体" w:hAnsi="宋体" w:eastAsia="宋体" w:cs="宋体"/>
                <w:i w:val="0"/>
                <w:iCs w:val="0"/>
                <w:color w:val="000000"/>
                <w:kern w:val="0"/>
                <w:sz w:val="22"/>
                <w:szCs w:val="22"/>
                <w:u w:val="none"/>
                <w:lang w:val="en-US" w:eastAsia="zh-CN" w:bidi="ar"/>
              </w:rPr>
              <w:t>40</w:t>
            </w:r>
          </w:p>
        </w:tc>
        <w:tc>
          <w:tcPr>
            <w:tcW w:w="92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36</w:t>
            </w:r>
          </w:p>
        </w:tc>
        <w:tc>
          <w:tcPr>
            <w:tcW w:w="968"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248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3</w:t>
            </w: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7" w:hRule="atLeast"/>
          <w:jc w:val="center"/>
        </w:trPr>
        <w:tc>
          <w:tcPr>
            <w:tcW w:w="578"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93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014600000040000</w:t>
            </w:r>
          </w:p>
        </w:tc>
        <w:tc>
          <w:tcPr>
            <w:tcW w:w="137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白内障针拨术</w:t>
            </w:r>
          </w:p>
        </w:tc>
        <w:tc>
          <w:tcPr>
            <w:tcW w:w="214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通过拨障针摘除晶状体混浊部分。</w:t>
            </w:r>
          </w:p>
        </w:tc>
        <w:tc>
          <w:tcPr>
            <w:tcW w:w="26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所定价格涵盖散瞳、消毒、开睑、切口、拨障针拨断晶状体悬韧带、晶体压入玻璃体腔、出针、闭合切口、包扎等人力资源和基本物质资源消耗。</w:t>
            </w:r>
          </w:p>
        </w:tc>
        <w:tc>
          <w:tcPr>
            <w:tcW w:w="614"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单眼</w:t>
            </w:r>
          </w:p>
        </w:tc>
        <w:tc>
          <w:tcPr>
            <w:tcW w:w="100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314</w:t>
            </w:r>
          </w:p>
        </w:tc>
        <w:tc>
          <w:tcPr>
            <w:tcW w:w="92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283</w:t>
            </w:r>
          </w:p>
        </w:tc>
        <w:tc>
          <w:tcPr>
            <w:tcW w:w="968"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267</w:t>
            </w:r>
          </w:p>
        </w:tc>
        <w:tc>
          <w:tcPr>
            <w:tcW w:w="248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3</w:t>
            </w: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jc w:val="center"/>
        </w:trPr>
        <w:tc>
          <w:tcPr>
            <w:tcW w:w="578"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93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014600000050000</w:t>
            </w:r>
          </w:p>
        </w:tc>
        <w:tc>
          <w:tcPr>
            <w:tcW w:w="137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足底反射疗法</w:t>
            </w:r>
          </w:p>
        </w:tc>
        <w:tc>
          <w:tcPr>
            <w:tcW w:w="214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通过手法对足部反射区进行刺激，起到缓解症状或治疗疾病的作用。</w:t>
            </w:r>
          </w:p>
        </w:tc>
        <w:tc>
          <w:tcPr>
            <w:tcW w:w="26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所定价格涵盖泡洗、定位、穴位刺激等人力资源和基本物质资源消耗。</w:t>
            </w:r>
          </w:p>
        </w:tc>
        <w:tc>
          <w:tcPr>
            <w:tcW w:w="614"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100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35</w:t>
            </w:r>
          </w:p>
        </w:tc>
        <w:tc>
          <w:tcPr>
            <w:tcW w:w="92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32</w:t>
            </w:r>
          </w:p>
        </w:tc>
        <w:tc>
          <w:tcPr>
            <w:tcW w:w="968"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30</w:t>
            </w:r>
          </w:p>
        </w:tc>
        <w:tc>
          <w:tcPr>
            <w:tcW w:w="248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不与中医推拿同时收费。</w:t>
            </w: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2</w:t>
            </w: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578"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93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014600000060000</w:t>
            </w:r>
          </w:p>
        </w:tc>
        <w:tc>
          <w:tcPr>
            <w:tcW w:w="137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红皮病清消治疗</w:t>
            </w:r>
          </w:p>
        </w:tc>
        <w:tc>
          <w:tcPr>
            <w:tcW w:w="214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针对红皮病病变部位进行清创处理、中药外敷，起到促进皮损愈合的作用。</w:t>
            </w:r>
          </w:p>
        </w:tc>
        <w:tc>
          <w:tcPr>
            <w:tcW w:w="2635"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所定价格涵盖消毒、清创、敷药、包扎等人力资源和基本物质资源消耗。</w:t>
            </w:r>
          </w:p>
        </w:tc>
        <w:tc>
          <w:tcPr>
            <w:tcW w:w="614"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100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33</w:t>
            </w:r>
          </w:p>
        </w:tc>
        <w:tc>
          <w:tcPr>
            <w:tcW w:w="927"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30</w:t>
            </w:r>
          </w:p>
        </w:tc>
        <w:tc>
          <w:tcPr>
            <w:tcW w:w="968"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2"/>
                <w:szCs w:val="22"/>
                <w:u w:val="none"/>
                <w:lang w:val="en-US" w:eastAsia="zh-CN" w:bidi="ar"/>
              </w:rPr>
              <w:t>28</w:t>
            </w:r>
          </w:p>
        </w:tc>
        <w:tc>
          <w:tcPr>
            <w:tcW w:w="2482"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3</w:t>
            </w:r>
          </w:p>
        </w:tc>
        <w:tc>
          <w:tcPr>
            <w:tcW w:w="566"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治疗费</w:t>
            </w:r>
          </w:p>
        </w:tc>
      </w:tr>
    </w:tbl>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r>
        <w:rPr>
          <w:rFonts w:hint="eastAsia" w:ascii="黑体" w:hAnsi="黑体" w:eastAsia="黑体" w:cs="黑体"/>
          <w:b w:val="0"/>
          <w:bCs w:val="0"/>
          <w:kern w:val="2"/>
          <w:sz w:val="32"/>
          <w:szCs w:val="32"/>
          <w:lang w:val="en-US" w:eastAsia="zh-CN" w:bidi="ar"/>
        </w:rPr>
        <w:t>附件5</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right="0"/>
        <w:jc w:val="center"/>
        <w:textAlignment w:val="auto"/>
        <w:rPr>
          <w:rFonts w:hint="eastAsia" w:ascii="宋体" w:hAnsi="宋体" w:eastAsia="宋体" w:cs="宋体"/>
          <w:b/>
          <w:bCs/>
          <w:kern w:val="2"/>
          <w:sz w:val="44"/>
          <w:szCs w:val="44"/>
          <w:lang w:val="en-US" w:eastAsia="zh-CN" w:bidi="ar"/>
        </w:rPr>
      </w:pPr>
      <w:r>
        <w:rPr>
          <w:rFonts w:hint="eastAsia" w:ascii="宋体" w:hAnsi="宋体" w:eastAsia="宋体" w:cs="宋体"/>
          <w:b/>
          <w:bCs/>
          <w:kern w:val="2"/>
          <w:sz w:val="44"/>
          <w:szCs w:val="44"/>
          <w:lang w:val="en-US" w:eastAsia="zh-CN" w:bidi="ar"/>
        </w:rPr>
        <w:t>废止医疗服务价格项目表</w:t>
      </w:r>
    </w:p>
    <w:tbl>
      <w:tblPr>
        <w:tblStyle w:val="8"/>
        <w:tblW w:w="15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08"/>
        <w:gridCol w:w="1401"/>
        <w:gridCol w:w="1694"/>
        <w:gridCol w:w="3787"/>
        <w:gridCol w:w="922"/>
        <w:gridCol w:w="565"/>
        <w:gridCol w:w="897"/>
        <w:gridCol w:w="750"/>
        <w:gridCol w:w="846"/>
        <w:gridCol w:w="886"/>
        <w:gridCol w:w="2894"/>
        <w:gridCol w:w="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5" w:hRule="atLeast"/>
          <w:tblHeader/>
          <w:jc w:val="center"/>
        </w:trPr>
        <w:tc>
          <w:tcPr>
            <w:tcW w:w="608"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序号</w:t>
            </w:r>
          </w:p>
        </w:tc>
        <w:tc>
          <w:tcPr>
            <w:tcW w:w="1401"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项目编码</w:t>
            </w:r>
          </w:p>
        </w:tc>
        <w:tc>
          <w:tcPr>
            <w:tcW w:w="1694"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left"/>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drawing>
                <wp:inline distT="0" distB="0" distL="114300" distR="114300">
                  <wp:extent cx="95250" cy="9525"/>
                  <wp:effectExtent l="0" t="0" r="0" b="0"/>
                  <wp:docPr id="2" name="图片 1"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true"/>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宋体" w:hAnsi="宋体" w:eastAsia="宋体" w:cs="宋体"/>
                <w:b/>
                <w:bCs/>
                <w:i w:val="0"/>
                <w:iCs w:val="0"/>
                <w:color w:val="000000"/>
                <w:kern w:val="0"/>
                <w:sz w:val="20"/>
                <w:szCs w:val="20"/>
                <w:lang w:val="en-US" w:eastAsia="zh-CN" w:bidi="ar"/>
              </w:rPr>
              <w:drawing>
                <wp:inline distT="0" distB="0" distL="114300" distR="114300">
                  <wp:extent cx="95250" cy="9525"/>
                  <wp:effectExtent l="0" t="0" r="0" b="0"/>
                  <wp:docPr id="3" name="图片 2" descr="IMG_2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true"/>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宋体" w:hAnsi="宋体" w:eastAsia="宋体" w:cs="宋体"/>
                <w:b/>
                <w:bCs/>
                <w:i w:val="0"/>
                <w:iCs w:val="0"/>
                <w:color w:val="000000"/>
                <w:kern w:val="0"/>
                <w:sz w:val="20"/>
                <w:szCs w:val="20"/>
                <w:lang w:val="en-US" w:eastAsia="zh-CN" w:bidi="ar"/>
              </w:rPr>
              <w:drawing>
                <wp:inline distT="0" distB="0" distL="114300" distR="114300">
                  <wp:extent cx="95250" cy="9525"/>
                  <wp:effectExtent l="0" t="0" r="0" b="0"/>
                  <wp:docPr id="4" name="图片 3" descr="IMG_25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true"/>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宋体" w:hAnsi="宋体" w:eastAsia="宋体" w:cs="宋体"/>
                <w:b/>
                <w:bCs/>
                <w:i w:val="0"/>
                <w:iCs w:val="0"/>
                <w:color w:val="000000"/>
                <w:kern w:val="0"/>
                <w:sz w:val="20"/>
                <w:szCs w:val="20"/>
                <w:lang w:val="en-US" w:eastAsia="zh-CN" w:bidi="ar"/>
              </w:rPr>
              <w:t>项目名称</w:t>
            </w:r>
          </w:p>
        </w:tc>
        <w:tc>
          <w:tcPr>
            <w:tcW w:w="3787"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项目内涵</w:t>
            </w:r>
          </w:p>
        </w:tc>
        <w:tc>
          <w:tcPr>
            <w:tcW w:w="922"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除外内容</w:t>
            </w:r>
          </w:p>
        </w:tc>
        <w:tc>
          <w:tcPr>
            <w:tcW w:w="565"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w:t>
            </w:r>
            <w:r>
              <w:rPr>
                <w:rFonts w:hint="eastAsia" w:ascii="宋体" w:hAnsi="宋体" w:eastAsia="宋体" w:cs="宋体"/>
                <w:b/>
                <w:bCs/>
                <w:i w:val="0"/>
                <w:iCs w:val="0"/>
                <w:color w:val="000000"/>
                <w:kern w:val="0"/>
                <w:sz w:val="20"/>
                <w:szCs w:val="20"/>
                <w:lang w:val="en-US" w:eastAsia="zh-CN" w:bidi="ar"/>
              </w:rPr>
              <w:br w:type="textWrapping"/>
            </w:r>
            <w:r>
              <w:rPr>
                <w:rFonts w:hint="eastAsia" w:ascii="宋体" w:hAnsi="宋体" w:eastAsia="宋体" w:cs="宋体"/>
                <w:b/>
                <w:bCs/>
                <w:i w:val="0"/>
                <w:iCs w:val="0"/>
                <w:color w:val="000000"/>
                <w:kern w:val="0"/>
                <w:sz w:val="20"/>
                <w:szCs w:val="20"/>
                <w:lang w:val="en-US" w:eastAsia="zh-CN" w:bidi="ar"/>
              </w:rPr>
              <w:t>单位</w:t>
            </w:r>
          </w:p>
        </w:tc>
        <w:tc>
          <w:tcPr>
            <w:tcW w:w="3379" w:type="dxa"/>
            <w:gridSpan w:val="4"/>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kern w:val="0"/>
                <w:sz w:val="20"/>
                <w:szCs w:val="20"/>
              </w:rPr>
            </w:pPr>
            <w:r>
              <w:rPr>
                <w:rFonts w:hint="eastAsia" w:ascii="宋体" w:hAnsi="宋体" w:eastAsia="宋体" w:cs="宋体"/>
                <w:b/>
                <w:bCs/>
                <w:kern w:val="0"/>
                <w:sz w:val="20"/>
                <w:szCs w:val="20"/>
              </w:rPr>
              <w:t>价格（元）</w:t>
            </w:r>
          </w:p>
        </w:tc>
        <w:tc>
          <w:tcPr>
            <w:tcW w:w="2894"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535"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w:t>
            </w:r>
            <w:r>
              <w:rPr>
                <w:rFonts w:hint="eastAsia" w:ascii="宋体" w:hAnsi="宋体" w:eastAsia="宋体" w:cs="宋体"/>
                <w:b/>
                <w:bCs/>
                <w:i w:val="0"/>
                <w:iCs w:val="0"/>
                <w:color w:val="000000"/>
                <w:kern w:val="0"/>
                <w:sz w:val="20"/>
                <w:szCs w:val="20"/>
                <w:lang w:val="en-US" w:eastAsia="zh-CN" w:bidi="ar"/>
              </w:rPr>
              <w:br w:type="textWrapping"/>
            </w:r>
            <w:r>
              <w:rPr>
                <w:rFonts w:hint="eastAsia" w:ascii="宋体" w:hAnsi="宋体" w:eastAsia="宋体" w:cs="宋体"/>
                <w:b/>
                <w:bCs/>
                <w:i w:val="0"/>
                <w:iCs w:val="0"/>
                <w:color w:val="000000"/>
                <w:kern w:val="0"/>
                <w:sz w:val="20"/>
                <w:szCs w:val="20"/>
                <w:lang w:val="en-US" w:eastAsia="zh-CN" w:bidi="ar"/>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0" w:hRule="atLeast"/>
          <w:tblHeader/>
          <w:jc w:val="center"/>
        </w:trPr>
        <w:tc>
          <w:tcPr>
            <w:tcW w:w="608"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b w:val="0"/>
                <w:bCs w:val="0"/>
                <w:sz w:val="20"/>
                <w:szCs w:val="20"/>
              </w:rPr>
            </w:pPr>
          </w:p>
        </w:tc>
        <w:tc>
          <w:tcPr>
            <w:tcW w:w="1401"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694"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3787"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922"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65"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kern w:val="0"/>
                <w:sz w:val="20"/>
                <w:szCs w:val="20"/>
                <w:lang w:val="en-US" w:eastAsia="zh-CN" w:bidi="ar-SA"/>
              </w:rPr>
            </w:pPr>
            <w:r>
              <w:rPr>
                <w:rFonts w:hint="eastAsia" w:ascii="宋体" w:hAnsi="宋体" w:eastAsia="宋体" w:cs="宋体"/>
                <w:b/>
                <w:bCs/>
                <w:color w:val="000000"/>
                <w:kern w:val="0"/>
                <w:sz w:val="20"/>
                <w:szCs w:val="20"/>
                <w:lang w:eastAsia="zh-CN"/>
              </w:rPr>
              <w:t>市</w:t>
            </w:r>
            <w:r>
              <w:rPr>
                <w:rFonts w:hint="eastAsia" w:ascii="宋体" w:hAnsi="宋体" w:eastAsia="宋体" w:cs="宋体"/>
                <w:b/>
                <w:bCs/>
                <w:color w:val="000000"/>
                <w:kern w:val="0"/>
                <w:sz w:val="20"/>
                <w:szCs w:val="20"/>
              </w:rPr>
              <w:t>三级公立医疗机构</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kern w:val="0"/>
                <w:sz w:val="20"/>
                <w:szCs w:val="20"/>
                <w:lang w:val="en-US" w:eastAsia="zh-CN" w:bidi="ar-SA"/>
              </w:rPr>
            </w:pPr>
            <w:r>
              <w:rPr>
                <w:rFonts w:hint="eastAsia" w:ascii="宋体" w:hAnsi="宋体" w:eastAsia="宋体" w:cs="宋体"/>
                <w:b/>
                <w:bCs/>
                <w:color w:val="000000"/>
                <w:kern w:val="0"/>
                <w:sz w:val="20"/>
                <w:szCs w:val="20"/>
                <w:lang w:eastAsia="zh-CN"/>
              </w:rPr>
              <w:t>市</w:t>
            </w:r>
            <w:r>
              <w:rPr>
                <w:rFonts w:hint="eastAsia" w:ascii="宋体" w:hAnsi="宋体" w:eastAsia="宋体" w:cs="宋体"/>
                <w:b/>
                <w:bCs/>
                <w:color w:val="000000"/>
                <w:kern w:val="0"/>
                <w:sz w:val="20"/>
                <w:szCs w:val="20"/>
              </w:rPr>
              <w:t>二级公立医疗机构</w:t>
            </w:r>
          </w:p>
        </w:tc>
        <w:tc>
          <w:tcPr>
            <w:tcW w:w="846" w:type="dxa"/>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color w:val="000000"/>
                <w:kern w:val="0"/>
                <w:sz w:val="20"/>
                <w:szCs w:val="20"/>
              </w:rPr>
            </w:pPr>
            <w:r>
              <w:rPr>
                <w:rFonts w:hint="eastAsia" w:ascii="宋体" w:hAnsi="宋体" w:eastAsia="宋体" w:cs="宋体"/>
                <w:b/>
                <w:bCs/>
                <w:color w:val="000000"/>
                <w:kern w:val="0"/>
                <w:sz w:val="20"/>
                <w:szCs w:val="20"/>
                <w:lang w:eastAsia="zh-CN"/>
              </w:rPr>
              <w:t>县</w:t>
            </w:r>
            <w:r>
              <w:rPr>
                <w:rFonts w:hint="eastAsia" w:ascii="宋体" w:hAnsi="宋体" w:eastAsia="宋体" w:cs="宋体"/>
                <w:b/>
                <w:bCs/>
                <w:color w:val="000000"/>
                <w:kern w:val="0"/>
                <w:sz w:val="20"/>
                <w:szCs w:val="20"/>
              </w:rPr>
              <w:t>二级公立医疗机构</w:t>
            </w:r>
          </w:p>
        </w:tc>
        <w:tc>
          <w:tcPr>
            <w:tcW w:w="886" w:type="dxa"/>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ascii="宋体" w:hAnsi="宋体" w:eastAsia="宋体" w:cs="宋体"/>
                <w:b/>
                <w:bCs/>
                <w:kern w:val="0"/>
                <w:sz w:val="20"/>
                <w:szCs w:val="20"/>
                <w:lang w:val="en-US" w:eastAsia="zh-CN" w:bidi="ar-SA"/>
              </w:rPr>
            </w:pPr>
            <w:r>
              <w:rPr>
                <w:rFonts w:hint="eastAsia" w:ascii="宋体" w:hAnsi="宋体" w:eastAsia="宋体" w:cs="宋体"/>
                <w:b/>
                <w:bCs/>
                <w:color w:val="000000"/>
                <w:kern w:val="0"/>
                <w:sz w:val="20"/>
                <w:szCs w:val="20"/>
              </w:rPr>
              <w:t>一级公立医疗机构</w:t>
            </w:r>
          </w:p>
        </w:tc>
        <w:tc>
          <w:tcPr>
            <w:tcW w:w="2894"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35"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b w:val="0"/>
                <w:bCs w:val="0"/>
                <w:i w:val="0"/>
                <w:iCs w:val="0"/>
                <w:kern w:val="0"/>
                <w:sz w:val="20"/>
                <w:szCs w:val="20"/>
                <w:lang w:val="en-US" w:eastAsia="zh-CN" w:bidi="ar"/>
              </w:rPr>
              <w:t>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310902005-2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无痛胃镜检查</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kern w:val="0"/>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550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550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550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550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0"/>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311100008</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促射精电动按摩</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lang w:val="en-US" w:eastAsia="zh-CN" w:bidi="ar"/>
              </w:rPr>
              <w:t>不含精液检测。</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2"/>
                <w:szCs w:val="22"/>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lang w:val="en-US" w:eastAsia="zh-CN" w:bidi="ar"/>
              </w:rPr>
            </w:pPr>
            <w:r>
              <w:rPr>
                <w:rFonts w:hint="eastAsia" w:ascii="宋体" w:hAnsi="宋体" w:eastAsia="宋体" w:cs="宋体"/>
                <w:i w:val="0"/>
                <w:iCs w:val="0"/>
                <w:color w:val="000000"/>
                <w:kern w:val="0"/>
                <w:sz w:val="22"/>
                <w:szCs w:val="22"/>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311201019</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宫腔填塞</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125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119</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99</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94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311201023</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产前检查</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w:t>
            </w:r>
            <w:r>
              <w:rPr>
                <w:rFonts w:hint="eastAsia" w:ascii="宋体" w:hAnsi="宋体" w:eastAsia="宋体" w:cs="宋体"/>
                <w:i w:val="0"/>
                <w:iCs w:val="0"/>
                <w:color w:val="000000"/>
                <w:spacing w:val="-6"/>
                <w:kern w:val="0"/>
                <w:sz w:val="20"/>
                <w:szCs w:val="20"/>
                <w:lang w:val="en-US" w:eastAsia="zh-CN" w:bidi="ar"/>
              </w:rPr>
              <w:t>测量体重、宫高、腹围、血压、骨盆内外口测量等；不含化验检查和超声检查。</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8.5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311201024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电子骨盆内测量</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14</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14</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14</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13</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311201026</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胎心监测</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19</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17</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17</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16</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7</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311201027</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胎儿镜检查</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0"/>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19</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18</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17</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8</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311201029</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羊膜镜检查</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34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9</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311201030</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羊膜腔穿刺术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含羊膜腔注药中期引产术；不含B超监测、羊水检查。</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87</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68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10</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311201031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经皮脐静脉穿刺术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不含超声引导</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穿刺针</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87</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68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311201034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羊水置换</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513</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486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405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383</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12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311201035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性交试验</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lang w:val="en-US" w:eastAsia="zh-CN" w:bidi="ar"/>
              </w:rPr>
              <w:t>含取精液、显微镜下检查。</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45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43</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311201054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子宫内水囊引产术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125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119</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99</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94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311201055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催产素滴注引产术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含观察宫缩、产程</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125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119</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99</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94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311201056</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药物性引产处置术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含早孕及中孕；不含中孕接生。</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清宫术及药物</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87</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tabs>
                <w:tab w:val="left" w:pos="434"/>
              </w:tabs>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68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311201065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早孕期经腹绒毛取材术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不含超声引导</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宋体" w:hAnsi="宋体" w:eastAsia="宋体" w:cs="宋体"/>
                <w:i w:val="0"/>
                <w:iCs w:val="0"/>
                <w:color w:val="000000"/>
                <w:kern w:val="0"/>
                <w:sz w:val="22"/>
                <w:szCs w:val="22"/>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2"/>
                <w:szCs w:val="22"/>
                <w:lang w:val="en-US" w:eastAsia="zh-CN" w:bidi="ar"/>
              </w:rPr>
            </w:pPr>
            <w:r>
              <w:rPr>
                <w:rFonts w:hint="eastAsia" w:ascii="宋体" w:hAnsi="宋体" w:eastAsia="宋体" w:cs="宋体"/>
                <w:i w:val="0"/>
                <w:iCs w:val="0"/>
                <w:color w:val="000000"/>
                <w:kern w:val="0"/>
                <w:sz w:val="22"/>
                <w:szCs w:val="22"/>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2"/>
                <w:szCs w:val="22"/>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17</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330100000</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联合麻醉加收</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 xml:space="preserve"> 88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88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88</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88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18</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局部浸润麻醉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36</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34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19</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330100001a</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门诊口腔局部浸润麻醉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9</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8.5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20</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330100001c</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表面麻醉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lang w:eastAsia="zh"/>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神经阻滞麻醉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颈丛、臂丛、星状神经等各种神经阻滞分别参照执行及侧隐窝阻滞术、侧隐窝臭氧注射等。</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218.5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207</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207</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195.5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每增加1小时加收50%</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330100002a</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门诊口腔神经阻滞麻醉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47.5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45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43</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330100003</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椎管内麻醉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腰麻、硬膜外阻滞及腰麻硬膜外联合阻滞分别参照执行</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腰麻硬膜外联合套件、硬膜外套件</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360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340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腰麻硬膜外联合阻滞加收20%，每增加1小时加收50元，双穿刺点加收30元</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基础麻醉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含强化麻醉</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60" w:lineRule="exact"/>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36</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全身麻醉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w:t>
            </w:r>
            <w:r>
              <w:rPr>
                <w:rFonts w:hint="eastAsia" w:ascii="宋体" w:hAnsi="宋体" w:eastAsia="宋体" w:cs="宋体"/>
                <w:i w:val="0"/>
                <w:iCs w:val="0"/>
                <w:color w:val="000000"/>
                <w:spacing w:val="-6"/>
                <w:kern w:val="0"/>
                <w:sz w:val="20"/>
                <w:szCs w:val="20"/>
                <w:lang w:val="en-US" w:eastAsia="zh-CN" w:bidi="ar"/>
              </w:rPr>
              <w:t>各种方式建立人工气道；吸入、静脉或吸静复合以及靶控输注分别参照执行。</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喉罩</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760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720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720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680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每</w:t>
            </w:r>
            <w:r>
              <w:rPr>
                <w:rFonts w:hint="eastAsia" w:ascii="宋体" w:hAnsi="宋体" w:eastAsia="宋体" w:cs="宋体"/>
                <w:i w:val="0"/>
                <w:iCs w:val="0"/>
                <w:color w:val="000000"/>
                <w:spacing w:val="-6"/>
                <w:kern w:val="0"/>
                <w:sz w:val="20"/>
                <w:szCs w:val="20"/>
                <w:lang w:val="en-US" w:eastAsia="zh-CN" w:bidi="ar"/>
              </w:rPr>
              <w:t>增加1小时加收100元。不插管全身麻醉260元。</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330100007</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支气管内麻醉</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各种施行单肺通气的麻醉方法及肺灌洗等治疗分别参照执行</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双腔管</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855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810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810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765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每增加1小时加收100元</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27</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330100008</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术后镇痛</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静脉硬膜外、腰麻硬膜外联合给药分别参照执行</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腰麻硬膜外联合套件、镇痛装置</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90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28</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330100009</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侧脑室连续镇痛</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镇痛装置</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天</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36</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29</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330100010</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硬膜外连续镇痛</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镇痛装置</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天</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45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43</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30</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330100011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椎管内置管术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神经根脱髓鞘疾病等治疗分别参照执行</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114</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108</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102</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330100015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麻醉中监测</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36</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34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麻醉恢复室监护参照执行。</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330100016</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控制性降压</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43</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331303007</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孕期子宫内口缝合术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713</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675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720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510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产科手术与操作(提供产前、产时、产后全程导乐陪伴分娩服务，加收)</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200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200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200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200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人工破膜术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32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31</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单胎顺产接生</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含产程观察、阴道或肛门检查，胎心监测及脐带处理，会阴裂伤修补及侧切。</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特殊的脐带夹</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808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727</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727</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687</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37</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331400003</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双胎接生</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含产程观察、阴道或肛门检查、胎心监测及脐带处理、会阴裂伤修补及侧切。</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1069</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810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648</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612</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38</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多胎接生</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含产程观察、阴道或肛门检查、胎心监测及脐带处理、会阴裂伤修补及侧切。</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1140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1080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864</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816</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39</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死胎接生</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含中期引产接生；不含死胎尸体分解及尸体处理。</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446</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338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270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255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40</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331400006</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各种死胎分解术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包括穿颅术、断头术、锁骨切断术、碎胎术、内脏挖出术、头皮牵引术等。</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428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405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324</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306</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331400007</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难产接生</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含产程观察、阴道或肛门检查，胎心监测及脐带处理，会阴裂伤修补及侧切，包括臀位接生、臀位牵引、胎头吸引器助产、旋转胎头、产钳助产。</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891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675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540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510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0" w:hRule="exac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331400008</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外倒转术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含臀位及横位的外倒转。</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54</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51</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2"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331400009</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内倒转术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指横位的内倒转。膀胱截石位，消毒，导尿，手伸入宫腔内，寻找并抓住胎儿双足进行牵引倒转，并行臀牵引娩出胎儿，复苏抢救胎儿。不含臀牵引接生。</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114</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86</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82</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331400010</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手取胎盘术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固定子宫底，术者戴无菌手套，进入宫腔，由宫底将胎盘剥离后取出，检查胎盘胎膜是否完整，再次搔扒宫腔检查有无残留。</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32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31</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6"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331400011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脐带还纳术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膀胱截</w:t>
            </w:r>
            <w:r>
              <w:rPr>
                <w:rFonts w:hint="eastAsia" w:ascii="宋体" w:hAnsi="宋体" w:eastAsia="宋体" w:cs="宋体"/>
                <w:i w:val="0"/>
                <w:iCs w:val="0"/>
                <w:color w:val="000000"/>
                <w:spacing w:val="-6"/>
                <w:kern w:val="0"/>
                <w:sz w:val="20"/>
                <w:szCs w:val="20"/>
                <w:lang w:val="en-US" w:eastAsia="zh-CN" w:bidi="ar"/>
              </w:rPr>
              <w:t>石位，戴无菌手套，将脱出之脐带还纳于胎先露之上并固定，直至胎儿娩出，监测胎心变化。不含多</w:t>
            </w:r>
            <w:r>
              <w:rPr>
                <w:rFonts w:hint="eastAsia" w:ascii="宋体" w:hAnsi="宋体" w:eastAsia="宋体" w:cs="宋体"/>
                <w:i w:val="0"/>
                <w:iCs w:val="0"/>
                <w:color w:val="000000"/>
                <w:kern w:val="0"/>
                <w:sz w:val="20"/>
                <w:szCs w:val="20"/>
                <w:lang w:val="en-US" w:eastAsia="zh-CN" w:bidi="ar"/>
              </w:rPr>
              <w:t>普勒听胎心。</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77</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73</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65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61</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331400012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剖宫产术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包括古典式、子宫下段及腹膜外剖宫取胎术。</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1330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1197</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1197</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1131</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47</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331400015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二次剖宫产术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含腹部疤痕剔除术、多次剖宫产。</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1140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1080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864</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816</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48</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331400016</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腹腔妊娠取胎术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消毒铺巾，逐层进腹，取出胎儿，充分止血，留置引流管，缝合腹壁。清理呼吸道，处理脐带，进行新生儿阿普加评分，擦净新生儿，打足印和母亲手印，新生儿基本查体，标明性别、体重、身高、出生时间，核准无误后入档。</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1069</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1013</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810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765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0"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49</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331400017</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选择性减胎术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713</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675</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540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510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50</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331400018</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子宫颈裂伤修补术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指产时宫颈裂伤</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192</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182</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162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153</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6"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331400019</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子宫颈管环扎术（Mc-Donald）</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指孕期手</w:t>
            </w:r>
            <w:r>
              <w:rPr>
                <w:rFonts w:hint="eastAsia" w:ascii="宋体" w:hAnsi="宋体" w:eastAsia="宋体" w:cs="宋体"/>
                <w:i w:val="0"/>
                <w:iCs w:val="0"/>
                <w:color w:val="000000"/>
                <w:spacing w:val="-6"/>
                <w:kern w:val="0"/>
                <w:sz w:val="20"/>
                <w:szCs w:val="20"/>
                <w:lang w:val="en-US" w:eastAsia="zh-CN" w:bidi="ar"/>
              </w:rPr>
              <w:t>术。膀胱截石位，消毒铺巾，消毒阴道，缝合线环形缝合宫颈内口，打结松紧适度，使4号扩宫棒能顺利通过。</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356</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338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270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255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331506005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先天性髋关节脱位手法复位石膏固定术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641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608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540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510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0"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骨折手法整复术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190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72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陈旧性骨折加收100%；骨折合并脱位的加收50%；掌（跖）、指（趾）骨折减半收费。</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420000002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骨折橇拨复位术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171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162</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135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128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420000003</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骨折经皮钳夹复位术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684</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216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180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170</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420000004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骨折闭合复位经皮穿刺（钉）内固定术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含手法复位、穿针固定</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四肢长骨干、近关节加收50%</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57</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420000005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关节脱位手法整复</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含手法复位、穿针固定</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400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162</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135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128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陈旧性脱位加收100%；髋关节脱位加收100%；下颌关节脱位、指（趾）间关节脱位减半收费。</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58</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420000007</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骨折夹板外固定术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含整复固定，包括复查调整、8字绷带外固定术、叠瓦氏外固定术。</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外固定材料</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380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108</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90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复查调整收10%，二次整复不得收费。</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59</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420000008</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关节错缝术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87</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72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60</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420000009</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麻醉下腰椎间盘突出症大手法治疗</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含X光透视、麻醉</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342</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324</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270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255</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420000011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关节粘连传统松解术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86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72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68</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大关节加收50%；一个住院周期收费不超过3次</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420000015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腱鞘囊肿挤压术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含加压包扎</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470000005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小针刀治疗</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包括刃针治疗</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每个部位</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34</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33</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27</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26</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64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470000014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医疗气功治疗</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34</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32</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27</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26</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FUE05702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远程胎心监护</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通过互联网传输系统，链接孕妇终端胎心监护仪，定位胎心并固定胎心探头，正常情况下持续监护20分钟，并出具监护报告。</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5"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HAA42405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口腔治疗笑气吸入镇静</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经一次性吸氧管持续吸入笑气后，辅助临床无痛治疗。</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67</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HAL48103</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分娩镇痛</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4小时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4"/>
                <w:szCs w:val="24"/>
                <w:u w:val="none"/>
                <w:lang w:val="en-US" w:eastAsia="zh-CN" w:bidi="ar"/>
              </w:rPr>
              <w:t>1425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4"/>
                <w:szCs w:val="24"/>
                <w:u w:val="none"/>
                <w:lang w:val="en-US" w:eastAsia="zh-CN" w:bidi="ar"/>
              </w:rPr>
              <w:t>1283</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4"/>
                <w:szCs w:val="24"/>
                <w:u w:val="none"/>
                <w:lang w:val="en-US" w:eastAsia="zh-CN" w:bidi="ar"/>
              </w:rPr>
              <w:t>1283</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4"/>
                <w:szCs w:val="24"/>
                <w:u w:val="none"/>
                <w:lang w:val="en-US" w:eastAsia="zh-CN" w:bidi="ar"/>
              </w:rPr>
              <w:t>1211</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不足4小时按4小时计，每增加1小时加收10%。</w:t>
            </w: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68</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FCZ05101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术中神经电生理监测</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局部消毒，电生理监测人员根据病情依照国际10-20标准于标准监测点埋入一次性皮下针电极，应用神经电生理监测仪于麻醉前监测初始多指标参考值，术中切除占位性病变、夹闭动脉瘤及阻断血管时持续重复行神经电生理监测，操作结束后再次行神经电生理监测以获得连续监测结果。</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110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99</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99</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94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69</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HAP05902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麻醉深度电生理监测</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传感器</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2小时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40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36</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34</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70</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HUF59601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经胎儿镜胎盘血管交通支凝固术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取仰卧位，消毒铺巾，局部麻醉或复合麻醉，实时超声监测下确定母体腹壁穿刺点，使用胎儿镜专用穿刺鞘经母体腹壁、子宫壁，避开胎盘、胎儿进入受血儿羊膜腔内，并经穿刺鞘置入胎儿镜，探查，确认胎盘血管交通支，自操作孔置入辅助器械（激光光纤），行胎盘血管交通支凝固术。不含B超引导。</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一次性使用光纤</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HUG46501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经胎儿镜脐带电凝术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val="0"/>
                <w:bCs w:val="0"/>
                <w:i w:val="0"/>
                <w:iCs w:val="0"/>
                <w:color w:val="000000"/>
                <w:kern w:val="0"/>
                <w:sz w:val="20"/>
                <w:szCs w:val="20"/>
                <w:lang w:val="en-US" w:eastAsia="zh-CN" w:bidi="ar"/>
              </w:rPr>
              <w:t>72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NAFA0000</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低温冷冻手术系统</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color w:val="000000"/>
                <w:kern w:val="0"/>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PBBA1501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骨折畸形愈合手法折骨术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PBDF0401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手指点穴治疗</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用拇指端、中指端、拇指或食指指间关节点压施术部位或穴位，通经止痛，用于各种痛症。</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5个穴位</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27</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24</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24</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23</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PBDF0601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足底反射治疗</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37</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33</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33</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31</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PBFA0704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激光针刀治疗</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lang w:val="en-US" w:eastAsia="zh-CN" w:bidi="ar"/>
              </w:rPr>
            </w:pPr>
            <w:r>
              <w:rPr>
                <w:rFonts w:hint="eastAsia" w:ascii="仿宋_GB2312" w:hAnsi="宋体" w:eastAsia="仿宋_GB2312" w:cs="仿宋_GB2312"/>
                <w:i w:val="0"/>
                <w:iCs w:val="0"/>
                <w:color w:val="000000"/>
                <w:kern w:val="0"/>
                <w:sz w:val="20"/>
                <w:szCs w:val="20"/>
                <w:u w:val="none"/>
                <w:lang w:val="en-US" w:eastAsia="zh-CN" w:bidi="ar"/>
              </w:rPr>
              <w:t>△</w:t>
            </w:r>
          </w:p>
        </w:tc>
        <w:tc>
          <w:tcPr>
            <w:tcW w:w="28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3</w:t>
            </w:r>
          </w:p>
        </w:tc>
      </w:tr>
    </w:tbl>
    <w:p>
      <w:pPr>
        <w:rPr>
          <w:rFonts w:eastAsia="仿宋_GB2312" w:cs="Times New Roman"/>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r>
        <w:rPr>
          <w:rFonts w:hint="eastAsia" w:ascii="黑体" w:hAnsi="黑体" w:eastAsia="黑体" w:cs="黑体"/>
          <w:b w:val="0"/>
          <w:bCs w:val="0"/>
          <w:kern w:val="2"/>
          <w:sz w:val="32"/>
          <w:szCs w:val="32"/>
          <w:lang w:val="en-US" w:eastAsia="zh-CN" w:bidi="ar"/>
        </w:rPr>
        <w:t>附件6</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right="0"/>
        <w:jc w:val="center"/>
        <w:textAlignment w:val="auto"/>
        <w:rPr>
          <w:rFonts w:hint="eastAsia" w:ascii="宋体" w:hAnsi="宋体" w:eastAsia="宋体" w:cs="宋体"/>
          <w:b/>
          <w:bCs/>
          <w:kern w:val="2"/>
          <w:sz w:val="44"/>
          <w:szCs w:val="44"/>
          <w:lang w:val="en-US" w:eastAsia="zh-CN" w:bidi="ar"/>
        </w:rPr>
      </w:pPr>
      <w:r>
        <w:rPr>
          <w:rFonts w:hint="eastAsia" w:ascii="宋体" w:hAnsi="宋体" w:eastAsia="宋体" w:cs="宋体"/>
          <w:b/>
          <w:bCs/>
          <w:kern w:val="2"/>
          <w:sz w:val="44"/>
          <w:szCs w:val="44"/>
          <w:lang w:val="en-US" w:eastAsia="zh-CN" w:bidi="ar"/>
        </w:rPr>
        <w:t>整合后医疗服务价格项目映射关系表</w:t>
      </w:r>
    </w:p>
    <w:tbl>
      <w:tblPr>
        <w:tblStyle w:val="8"/>
        <w:tblW w:w="14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52"/>
        <w:gridCol w:w="1845"/>
        <w:gridCol w:w="2300"/>
        <w:gridCol w:w="3114"/>
        <w:gridCol w:w="3889"/>
        <w:gridCol w:w="2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blHeader/>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序号</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项目代码</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项目名称</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价格构成</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同整合后项目收取项目名称</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纳入价格构成项目名称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kern w:val="2"/>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311202</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产科孕产系统</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013112020010000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产前常规检查</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所定价格涵盖推算孕周、测量孕妇体重、宫高、腹围、血压及听胎心、孕期触诊，以及判断胎位状态、胎儿是否符合孕周等孕期检查、分娩前评估和健康指导步骤所需的人力资源和基本物质资源消耗。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产前检查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高危妊娠产前常规检查</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电子骨盆内测量、骨盆内外测量、多普勒胎心计数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013112020020000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胎心监测</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所定价格涵盖定位、固定探头、监测、出具报告等所需的人力资源和基本物质资源消耗。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胎心监测</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持续胎心监测</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013112020030000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胎心监测（远程）</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所定价格涵盖定位、固定探头、监测、出具报告等所需的人力资源和基本物质资源消耗。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远程胎心监护</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restart"/>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013112020040000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羊膜腔穿刺</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所定价格涵盖定位、消毒、穿刺、取样、观察等羊膜腔穿刺所有必要操作所需人力资源和基本物质资源消耗。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羊膜腔穿刺术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产前诊断性羊膜腔穿刺术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经皮羊膜穿刺活检术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color w:val="FF0000"/>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013112020040100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羊膜腔穿刺-羊膜腔穿刺注药（扩展）</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所定价格涵盖定位、消毒、穿刺、注药、取样、观察等羊膜腔穿刺所有必要操作所需人力资源和基本物质资源消耗。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促肺成熟性羊膜腔穿刺注药术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013112020050000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绒毛取材</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所定价格涵盖定位、消毒、穿刺、取材等绒毛取材所有必要操作所需的人力资源和基本物质资源消耗。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早孕期经腹绒毛取材术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孕早期经阴绒毛穿刺取材术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013112020060000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胎儿内镜检查</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所定价格涵盖定位、内镜置入、观察、撤除等，必要时取样等操作所需的人力资源和基本物质资源消耗。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胎儿镜检查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羊膜镜检查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经胎儿镜活检术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013112020070000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催引产</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所定价格涵盖促宫颈成熟等所有必要操作所需的人力资源和基本物质资源消耗。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子宫内水囊引产术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催产素滴注引产术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药物性引产处置术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静脉药物引产术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经阴道药物引产术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8</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013112020080000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产程管理</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所定价格涵盖观察产妇生命体征、宫缩及宫口扩张情况、监测胎心、判断产程进展、记录产程过程，给予相应的安抚、指导，根据需要采取干预措施，必要时行人工破膜等所需的人力资源和基本物质资源消耗。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产程观察</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低位人工破膜术、高位人工破膜术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9</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013112020090000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分娩镇痛</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评估、建立通路、摆放体位、穿刺、置管、剂量验证、观察、注药、氧饱和度监测、装置连接、参数设定、评分、记录、分析病情，必要时调整剂量、撤除装置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经皮穿刺椎管内麻醉分娩镇痛</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椎管内置管术、麻醉中监测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10</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013112020100000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导乐分娩</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应用呼吸减痛、分娩球、腰骶按摩、自由</w:t>
            </w:r>
            <w:r>
              <w:rPr>
                <w:rFonts w:hint="eastAsia" w:ascii="宋体" w:hAnsi="宋体" w:eastAsia="宋体" w:cs="宋体"/>
                <w:i w:val="0"/>
                <w:iCs w:val="0"/>
                <w:color w:val="000000"/>
                <w:spacing w:val="-6"/>
                <w:kern w:val="0"/>
                <w:sz w:val="20"/>
                <w:szCs w:val="20"/>
                <w:lang w:val="en-US" w:eastAsia="zh-CN" w:bidi="ar"/>
              </w:rPr>
              <w:t>体位等非药物方法减轻分娩疼痛、协助产程进展，给予产妇生活照护和陪伴，在导乐过程中随时观察产程进展等所需的人力资源和</w:t>
            </w:r>
            <w:r>
              <w:rPr>
                <w:rFonts w:hint="eastAsia" w:ascii="宋体" w:hAnsi="宋体" w:eastAsia="宋体" w:cs="宋体"/>
                <w:i w:val="0"/>
                <w:iCs w:val="0"/>
                <w:color w:val="000000"/>
                <w:kern w:val="0"/>
                <w:sz w:val="20"/>
                <w:szCs w:val="20"/>
                <w:lang w:val="en-US" w:eastAsia="zh-CN" w:bidi="ar"/>
              </w:rPr>
              <w:t>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产科手术与操作(提供产前、产时、产后全程导乐陪伴分娩服务)</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特殊待产观察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11</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013112020110000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亲情陪产</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陪产过程中所需的基本物质资源消耗。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12</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013112020120000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胎儿外倒转</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所定价格涵盖评估、胎位矫正、包扎固定、术后孕妇观察等胎儿外倒转所有必要操作所需的人力资源和基本物质资源消耗。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外倒转术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13</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013112020130000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产时宫外治疗</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spacing w:val="-11"/>
                <w:kern w:val="0"/>
                <w:sz w:val="20"/>
                <w:szCs w:val="20"/>
                <w:lang w:val="en-US" w:eastAsia="zh-CN" w:bidi="ar"/>
              </w:rPr>
              <w:t>所定价格涵</w:t>
            </w:r>
            <w:r>
              <w:rPr>
                <w:rFonts w:hint="eastAsia" w:ascii="宋体" w:hAnsi="宋体" w:eastAsia="宋体" w:cs="宋体"/>
                <w:i w:val="0"/>
                <w:iCs w:val="0"/>
                <w:color w:val="000000"/>
                <w:spacing w:val="-6"/>
                <w:kern w:val="0"/>
                <w:sz w:val="20"/>
                <w:szCs w:val="20"/>
                <w:lang w:val="en-US" w:eastAsia="zh-CN" w:bidi="ar"/>
              </w:rPr>
              <w:t>盖消毒、气管插管/气管切开、采取措施避免胎盘过早剥离、胎儿手术等必要操</w:t>
            </w:r>
            <w:r>
              <w:rPr>
                <w:rFonts w:hint="eastAsia" w:ascii="宋体" w:hAnsi="宋体" w:eastAsia="宋体" w:cs="宋体"/>
                <w:i w:val="0"/>
                <w:iCs w:val="0"/>
                <w:color w:val="000000"/>
                <w:spacing w:val="-11"/>
                <w:kern w:val="0"/>
                <w:sz w:val="20"/>
                <w:szCs w:val="20"/>
                <w:lang w:val="en-US" w:eastAsia="zh-CN" w:bidi="ar"/>
              </w:rPr>
              <w:t>作所需的人力资</w:t>
            </w:r>
            <w:r>
              <w:rPr>
                <w:rFonts w:hint="eastAsia" w:ascii="宋体" w:hAnsi="宋体" w:eastAsia="宋体" w:cs="宋体"/>
                <w:i w:val="0"/>
                <w:iCs w:val="0"/>
                <w:color w:val="000000"/>
                <w:spacing w:val="-6"/>
                <w:kern w:val="0"/>
                <w:sz w:val="20"/>
                <w:szCs w:val="20"/>
                <w:lang w:val="en-US" w:eastAsia="zh-CN" w:bidi="ar"/>
              </w:rPr>
              <w:t>源和</w:t>
            </w:r>
            <w:r>
              <w:rPr>
                <w:rFonts w:hint="eastAsia" w:ascii="宋体" w:hAnsi="宋体" w:eastAsia="宋体" w:cs="宋体"/>
                <w:i w:val="0"/>
                <w:iCs w:val="0"/>
                <w:color w:val="000000"/>
                <w:spacing w:val="-11"/>
                <w:kern w:val="0"/>
                <w:sz w:val="20"/>
                <w:szCs w:val="20"/>
                <w:lang w:val="en-US" w:eastAsia="zh-CN" w:bidi="ar"/>
              </w:rPr>
              <w:t>基</w:t>
            </w:r>
            <w:r>
              <w:rPr>
                <w:rFonts w:hint="eastAsia" w:ascii="宋体" w:hAnsi="宋体" w:eastAsia="宋体" w:cs="宋体"/>
                <w:i w:val="0"/>
                <w:iCs w:val="0"/>
                <w:color w:val="000000"/>
                <w:spacing w:val="-6"/>
                <w:kern w:val="0"/>
                <w:sz w:val="20"/>
                <w:szCs w:val="20"/>
                <w:lang w:val="en-US" w:eastAsia="zh-CN" w:bidi="ar"/>
              </w:rPr>
              <w:t>本物质资源</w:t>
            </w:r>
            <w:r>
              <w:rPr>
                <w:rFonts w:hint="eastAsia" w:ascii="宋体" w:hAnsi="宋体" w:eastAsia="宋体" w:cs="宋体"/>
                <w:i w:val="0"/>
                <w:iCs w:val="0"/>
                <w:color w:val="000000"/>
                <w:spacing w:val="-11"/>
                <w:kern w:val="0"/>
                <w:sz w:val="20"/>
                <w:szCs w:val="20"/>
                <w:lang w:val="en-US" w:eastAsia="zh-CN" w:bidi="ar"/>
              </w:rPr>
              <w:t>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14</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013112020140000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胎儿宫内输血</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所定价格涵盖穿刺、抽血、输血等胎儿宫内输血所有必要操作所需的人力资源和基本物质资源消耗。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restart"/>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15</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013112020150000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胎盘血管交通支凝固治疗</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所定价格涵盖穿刺、内镜置入、观察、凝结胎盘血管交通支、撤除等胎盘血管交通支凝固治疗所有必要操作所需的人力资源和基本物质资源消耗。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013112020150001</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胎盘血管交通支凝固治疗--内镜下辅助操作（加收）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经胎儿镜胎盘血管交通支凝固术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16</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013112020160000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羊水调节</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所定价格涵盖定位、消毒、穿刺、抽吸/灌注、放置引流管等羊水调节所有必要操作所需人力资源和基本物质资源消耗。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羊水置换</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羊水减量术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恒温羊水灌注术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17</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013112020170000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子宫压迫止血</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w:t>
            </w:r>
            <w:r>
              <w:rPr>
                <w:rFonts w:hint="eastAsia" w:ascii="宋体" w:hAnsi="宋体" w:eastAsia="宋体" w:cs="宋体"/>
                <w:i w:val="0"/>
                <w:iCs w:val="0"/>
                <w:color w:val="000000"/>
                <w:spacing w:val="-6"/>
                <w:kern w:val="0"/>
                <w:sz w:val="20"/>
                <w:szCs w:val="20"/>
                <w:lang w:val="en-US" w:eastAsia="zh-CN" w:bidi="ar"/>
              </w:rPr>
              <w:t>定价格涵盖扩张宫口、探查宫腔并清宫、填塞宫腔或缝合、压迫止血，必要时材料取出等所需的人力资源和基本物质资源消耗。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宫腔填塞</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子宫压迫缝合止血术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宫腔适型球囊压迫术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18</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013112020180000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脐静脉穿刺</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所定价格涵盖定位、消毒、穿刺、抽血等脐静脉穿刺所有必要操作所需的人力资源和基本物质资源消耗。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经皮脐静脉穿刺术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19</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013112020190000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药物减胎</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w:t>
            </w:r>
            <w:r>
              <w:rPr>
                <w:rFonts w:hint="eastAsia" w:ascii="宋体" w:hAnsi="宋体" w:eastAsia="宋体" w:cs="宋体"/>
                <w:i w:val="0"/>
                <w:iCs w:val="0"/>
                <w:color w:val="000000"/>
                <w:spacing w:val="-6"/>
                <w:kern w:val="0"/>
                <w:sz w:val="20"/>
                <w:szCs w:val="20"/>
                <w:lang w:val="en-US" w:eastAsia="zh-CN" w:bidi="ar"/>
              </w:rPr>
              <w:t>价格涵盖消毒、穿刺、注药等药物减胎所有必要操作所需的人力资源和基本物质资源消耗。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选择性减胎术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妊娠中期选择性减胎术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早孕减胎术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20</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013112020200000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中期引产</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所定价格涵盖消毒、促宫颈成熟、胎儿处理等中期引产所有必要操作所需的人力资源和基本物质资源消耗。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 xml:space="preserve">中期引产羊膜腔穿刺注药术 </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中期妊娠水囊引产术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21</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013112020210000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晚期引产</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所定价格涵盖消毒、促宫颈成熟、胎儿处理等晚期引产所有必要操作所需的人力资源和基本物质资源消耗。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子宫颈扩张球囊引产</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子宫颈扩张引产术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22</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013112020220000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死胎接生</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w:t>
            </w:r>
            <w:r>
              <w:rPr>
                <w:rFonts w:hint="eastAsia" w:ascii="宋体" w:hAnsi="宋体" w:eastAsia="宋体" w:cs="宋体"/>
                <w:i w:val="0"/>
                <w:iCs w:val="0"/>
                <w:color w:val="000000"/>
                <w:spacing w:val="-6"/>
                <w:kern w:val="0"/>
                <w:sz w:val="20"/>
                <w:szCs w:val="20"/>
                <w:lang w:val="en-US" w:eastAsia="zh-CN" w:bidi="ar"/>
              </w:rPr>
              <w:t>格涵盖消毒、协助娩出、胎盘处置，必要时使用器械助产等死胎接生所有必要操作所需的人力</w:t>
            </w:r>
            <w:r>
              <w:rPr>
                <w:rFonts w:hint="eastAsia" w:ascii="宋体" w:hAnsi="宋体" w:eastAsia="宋体" w:cs="宋体"/>
                <w:i w:val="0"/>
                <w:iCs w:val="0"/>
                <w:color w:val="000000"/>
                <w:kern w:val="0"/>
                <w:sz w:val="20"/>
                <w:szCs w:val="20"/>
                <w:lang w:val="en-US" w:eastAsia="zh-CN" w:bidi="ar"/>
              </w:rPr>
              <w:t>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死胎接生</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各种死胎分解术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kern w:val="2"/>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3314</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产科手术与操作</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restart"/>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23</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013314000010000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阴道分娩（常规）</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自第二产程开始至第四产程结束期间常规经阴道分娩的全过程和必要操作，包括对产妇的密切观察、生产指导、干预措施，协助胎儿娩出、胎盘娩出，对脐带、胎盘、胎膜的检查处理，对产道的检查、会阴侧切、缝合及裂伤修补（1-2度），母婴观察、处理、评分及记录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单胎顺产接生</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双胎接生</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多胎接生</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脐带还纳术、脐带残端处置术、会阴Ⅰ-Ⅱ度裂伤缝合术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013314000010001</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阴道分娩（常规）-会阴裂伤修补（限3-4度）（加收）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会阴Ⅲ-IV度裂伤缝合术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013314000010002</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阴道分娩（常规）-宫颈裂伤修补（加收）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子宫颈裂伤修补术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restart"/>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24</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013314000020000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阴道分娩（复杂）</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自第二产程开始至第四产程结束期间复杂情况经阴道分娩的全过程和必要操作，包括对产妇的密切观察、生产指导、干预措施，协助胎儿娩出、胎盘娩出，对脐带、胎盘、胎膜的检查处理，对产道的检查、会阴侧切、缝合及裂伤修补（1-2度），母婴观察、处理、评分及记录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2420" w:right="0" w:hanging="2200" w:hangingChars="110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 xml:space="preserve">难产接生   </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2420" w:right="0" w:hanging="2200" w:hangingChars="1100"/>
              <w:jc w:val="both"/>
              <w:textAlignment w:val="center"/>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产钳助产术、胎头吸引助产术、臀位牵引术、臀位助产术、胎儿锁骨切断助产术、胎头旋转术、内倒转术、手取胎盘术、脐带还纳术、脐带残端处置术、会阴Ⅰ-Ⅱ度裂伤缝合术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013314000020001</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阴道分娩（复杂）-会阴裂伤修补（限3-4度）（加收）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会阴Ⅲ-IV度裂伤缝合术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013314000020002</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阴道分娩（复杂）-宫颈裂伤修补（加收）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子宫颈裂伤修补术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restart"/>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25</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013314000030000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剖宫产（常规）</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常规情况通过手术娩出胎儿的全过程和必要操作，包括切开子宫、娩出胎儿、胎盘处理、清理缝合、止血包扎处理等手术全过程，新生儿的观察、处理、评分及记录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剖宫产术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古典式剖宫产术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子宫下段剖宫产术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013314000030001</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剖宫产（常规）-阴道分娩转剖宫产（加收）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restart"/>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26</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013314000040000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剖宫产（复杂）</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复杂情况通过手术娩出胎儿的全过程和必要操作，包括切开子宫、娩出胎儿、胎盘处理、清理缝合、止血包扎处理等手术全过程，新生儿的观察、处理、评分及记录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二次剖宫产术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腹腔妊娠取胎术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腹膜外剖宫产术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瘢痕子宫剖宫产术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胎盘植入剖宫产保留子宫术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013314000040001</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剖宫产（复杂）-阴道分娩转剖宫产（加收）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27</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013314000050000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宫颈环扎术（常规）</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所定价格涵盖消毒、宫颈固定、缝合、拆线，必要时胎膜复位等宫颈环扎术所有必要操作所需的人力资源和基本物质资源消耗。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子宫颈管环扎术（Mc-Donald）</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经阴道宫颈内口环扎术 (Shirodkar手术)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28</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013314000060000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宫颈环扎术（特殊）</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所定价格涵盖消毒、宫颈固定、缝合、拆线，必要时胎膜复位等宫颈环扎术所有必要操作所需的人力资源和基本物质资源消耗。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孕期子宫内口缝合术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妊娠期紧急宫颈环扎术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restart"/>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29</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013314000070000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院外分娩产后处置</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所定价格涵盖第三产程开始的脐带和胎盘处理，会阴裂伤修补（1-2度）、侧切及缝合、胎儿娩出后母婴观察等院外分娩产后处置所有必要操作所需的人力资源和基本物质资源消耗。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013314000070001</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院外分娩产后处置-会阴裂伤修补（限3-4度）（加收）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会阴Ⅲ-IV度裂伤缝合术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013314000070002</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院外分娩产后处置-宫颈裂伤修补（加收）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子宫颈裂伤修补术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30</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013314000080000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手术减胎</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所定价格涵盖消毒、确认位置、穿刺、使用电凝、激光、射频等各种方式进行减胎所需的人力资源和基本物质资源消耗。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经胎儿镜脐带电凝术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超声引导下脐带电凝术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经胎儿镜胎儿脐带结扎术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超声引导下射频消融减胎术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kern w:val="2"/>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3301</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麻醉</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013301000010000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局部麻醉费（局部浸润麻醉）</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所定价格涵盖核对信息、配制、定位、消毒、反复穿刺、注射、拔针、按压、监测、观察、处理用物等所需的人力资源和基本物质资源消耗。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局部浸润麻醉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门诊口腔局部浸润麻醉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麻醉术前访视、麻醉术后随访、麻醉中监测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013301000020000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局部麻醉费（局部静脉麻醉）</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所定价格涵盖核对信息、配制、定位、消毒、穿刺、注射、拔针、按压、监测、观察、处理用物等所需的人力资源和基本物质资源消耗。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局部静脉内麻醉</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麻醉术前访视、麻醉术后随访、麻醉中监测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0"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013301000030000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局部麻醉费（神经阻滞麻醉）</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kern w:val="0"/>
                <w:sz w:val="20"/>
                <w:szCs w:val="20"/>
                <w:lang w:val="en-US" w:eastAsia="zh-CN" w:bidi="ar"/>
              </w:rPr>
              <w:t>所定价格涵盖患者准备、定位、消毒、穿刺、注药、监测、观察、记录、处理用物及必要时置管等步骤所需的人力资源和基本物质资源消耗。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门诊口腔神经阻滞麻醉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kern w:val="2"/>
                <w:sz w:val="20"/>
                <w:szCs w:val="20"/>
              </w:rPr>
            </w:pPr>
            <w:r>
              <w:rPr>
                <w:rFonts w:hint="eastAsia" w:ascii="宋体" w:hAnsi="宋体" w:eastAsia="宋体" w:cs="宋体"/>
                <w:i w:val="0"/>
                <w:iCs w:val="0"/>
                <w:kern w:val="0"/>
                <w:sz w:val="20"/>
                <w:szCs w:val="20"/>
                <w:lang w:val="en-US" w:eastAsia="zh-CN" w:bidi="ar"/>
              </w:rPr>
              <w:t>经皮穿刺耳颞神经阻滞麻醉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kern w:val="2"/>
                <w:sz w:val="20"/>
                <w:szCs w:val="20"/>
              </w:rPr>
            </w:pPr>
            <w:r>
              <w:rPr>
                <w:rFonts w:hint="eastAsia" w:ascii="宋体" w:hAnsi="宋体" w:eastAsia="宋体" w:cs="宋体"/>
                <w:i w:val="0"/>
                <w:iCs w:val="0"/>
                <w:kern w:val="0"/>
                <w:sz w:val="20"/>
                <w:szCs w:val="20"/>
                <w:lang w:val="en-US" w:eastAsia="zh-CN" w:bidi="ar"/>
              </w:rPr>
              <w:t>经皮穿刺喉上神经阻滞麻醉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kern w:val="2"/>
                <w:sz w:val="20"/>
                <w:szCs w:val="20"/>
              </w:rPr>
            </w:pPr>
            <w:r>
              <w:rPr>
                <w:rFonts w:hint="eastAsia" w:ascii="宋体" w:hAnsi="宋体" w:eastAsia="宋体" w:cs="宋体"/>
                <w:i w:val="0"/>
                <w:iCs w:val="0"/>
                <w:kern w:val="0"/>
                <w:sz w:val="20"/>
                <w:szCs w:val="20"/>
                <w:lang w:val="en-US" w:eastAsia="zh-CN" w:bidi="ar"/>
              </w:rPr>
              <w:t>经皮穿刺滑车上神经阻滞麻醉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kern w:val="2"/>
                <w:sz w:val="20"/>
                <w:szCs w:val="20"/>
              </w:rPr>
            </w:pPr>
            <w:r>
              <w:rPr>
                <w:rFonts w:hint="eastAsia" w:ascii="宋体" w:hAnsi="宋体" w:eastAsia="宋体" w:cs="宋体"/>
                <w:i w:val="0"/>
                <w:iCs w:val="0"/>
                <w:kern w:val="0"/>
                <w:sz w:val="20"/>
                <w:szCs w:val="20"/>
                <w:lang w:val="en-US" w:eastAsia="zh-CN" w:bidi="ar"/>
              </w:rPr>
              <w:t>经皮穿刺颏神经阻滞麻醉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kern w:val="2"/>
                <w:sz w:val="20"/>
                <w:szCs w:val="20"/>
              </w:rPr>
            </w:pPr>
            <w:r>
              <w:rPr>
                <w:rFonts w:hint="eastAsia" w:ascii="宋体" w:hAnsi="宋体" w:eastAsia="宋体" w:cs="宋体"/>
                <w:i w:val="0"/>
                <w:iCs w:val="0"/>
                <w:kern w:val="0"/>
                <w:sz w:val="20"/>
                <w:szCs w:val="20"/>
                <w:lang w:val="en-US" w:eastAsia="zh-CN" w:bidi="ar"/>
              </w:rPr>
              <w:t>经皮穿刺眶上神经阻滞麻醉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经皮穿刺眶下神经阻滞麻醉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经皮穿刺面神经阻滞麻醉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经皮穿刺三叉神经节阻滞麻醉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经皮穿刺上颌神经阻滞麻醉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经皮穿刺舌咽神经阻滞麻醉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经皮穿刺下颌神经阻滞麻醉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经口下牙槽神经阻滞麻醉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经皮穿刺神经根注射阻滞麻醉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经皮穿刺星状神经节阻滞麻醉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经皮穿刺椎旁神经单次阻滞麻醉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经皮穿刺椎旁神经连续阻滞麻醉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经皮穿刺颈丛神经阻滞麻醉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经皮穿刺枕神经阻滞麻醉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经皮穿刺臂丛神经单次阻滞麻醉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经皮穿刺臂丛神经连续阻滞麻醉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经皮穿刺尺神经阻滞麻醉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经皮穿刺肩岬上神经阻滞麻醉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经皮穿刺桡神经单次阻滞麻醉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经皮穿刺桡神经连续阻滞麻醉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经皮穿刺正中神经阻滞麻醉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经皮穿刺指间神经阻滞麻醉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经皮穿刺肋间神经阻滞麻醉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经皮穿刺股神经单次阻滞麻醉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经皮穿刺股神经连续阻滞麻醉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经皮穿刺股外侧皮神经单次阻滞麻醉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经皮穿刺股外侧皮神经连续阻滞麻醉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经皮穿刺腰丛神经单次阻滞麻醉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经皮穿刺腰丛神经连续阻滞麻醉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经皮穿刺腓总神经阻滞麻醉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经皮穿刺腘窝入路胫神经单次阻滞麻醉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经皮穿刺腘窝入路胫神经连续阻滞麻醉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经皮穿刺隐神经阻滞麻醉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经皮穿刺坐骨神经单次阻滞麻醉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经皮穿刺坐骨神经连续阻滞麻醉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经皮穿刺内脏神经丛单次阻滞麻醉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经皮穿刺内脏神经丛连续阻滞麻醉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经皮穿刺踝关节局部阻滞麻醉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经皮穿刺椎间小关节注射阻滞麻醉</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麻醉术前访视、麻醉术后随访、麻醉中监测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0" w:hRule="atLeast"/>
          <w:jc w:val="center"/>
        </w:trPr>
        <w:tc>
          <w:tcPr>
            <w:tcW w:w="652" w:type="dxa"/>
            <w:vMerge w:val="restart"/>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013301000040000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局部麻醉费（椎管内麻醉）</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所定价格涵盖患者准备、定位、消毒、穿刺、注药、监测、观察、记录、处理用物及必要时置管等步骤所需的人力资源和基本物质资源消耗。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lang w:val="en-US" w:eastAsia="zh-CN" w:bidi="ar"/>
              </w:rPr>
            </w:pPr>
            <w:r>
              <w:rPr>
                <w:rFonts w:hint="eastAsia" w:ascii="宋体" w:hAnsi="宋体" w:eastAsia="宋体" w:cs="宋体"/>
                <w:i w:val="0"/>
                <w:iCs w:val="0"/>
                <w:kern w:val="0"/>
                <w:sz w:val="20"/>
                <w:szCs w:val="20"/>
                <w:lang w:val="en-US" w:eastAsia="zh-CN" w:bidi="ar"/>
              </w:rPr>
              <w:t>椎管内麻醉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lang w:val="en-US" w:eastAsia="zh-CN" w:bidi="ar"/>
              </w:rPr>
            </w:pPr>
            <w:r>
              <w:rPr>
                <w:rFonts w:hint="eastAsia" w:ascii="宋体" w:hAnsi="宋体" w:eastAsia="宋体" w:cs="宋体"/>
                <w:i w:val="0"/>
                <w:iCs w:val="0"/>
                <w:kern w:val="0"/>
                <w:sz w:val="20"/>
                <w:szCs w:val="20"/>
                <w:lang w:val="en-US" w:eastAsia="zh-CN" w:bidi="ar"/>
              </w:rPr>
              <w:t>经皮穿刺椎管内医用臭氧注射镇痛术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lang w:val="en-US" w:eastAsia="zh-CN" w:bidi="ar"/>
              </w:rPr>
            </w:pPr>
            <w:r>
              <w:rPr>
                <w:rFonts w:hint="eastAsia" w:ascii="宋体" w:hAnsi="宋体" w:eastAsia="宋体" w:cs="宋体"/>
                <w:i w:val="0"/>
                <w:iCs w:val="0"/>
                <w:kern w:val="0"/>
                <w:sz w:val="20"/>
                <w:szCs w:val="20"/>
                <w:lang w:val="en-US" w:eastAsia="zh-CN" w:bidi="ar"/>
              </w:rPr>
              <w:t>经皮穿刺骶管单次阻滞麻醉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lang w:val="en-US" w:eastAsia="zh-CN" w:bidi="ar"/>
              </w:rPr>
            </w:pPr>
            <w:r>
              <w:rPr>
                <w:rFonts w:hint="eastAsia" w:ascii="宋体" w:hAnsi="宋体" w:eastAsia="宋体" w:cs="宋体"/>
                <w:i w:val="0"/>
                <w:iCs w:val="0"/>
                <w:kern w:val="0"/>
                <w:sz w:val="20"/>
                <w:szCs w:val="20"/>
                <w:lang w:val="en-US" w:eastAsia="zh-CN" w:bidi="ar"/>
              </w:rPr>
              <w:t>经皮穿刺骶管连续阻滞麻醉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经皮穿刺颈段硬膜外单次阻滞麻醉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经皮穿刺颈段硬膜外连续阻滞麻醉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经皮穿刺胸段硬膜外单次阻滞麻醉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经皮穿刺胸段硬膜外连续阻滞麻醉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经皮穿刺腰段硬膜外单次阻滞麻醉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经皮穿刺腰段硬膜外连续阻滞麻醉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kern w:val="0"/>
                <w:sz w:val="20"/>
                <w:szCs w:val="20"/>
              </w:rPr>
            </w:pPr>
            <w:r>
              <w:rPr>
                <w:rFonts w:hint="eastAsia" w:ascii="宋体" w:hAnsi="宋体" w:eastAsia="宋体" w:cs="宋体"/>
                <w:i w:val="0"/>
                <w:iCs w:val="0"/>
                <w:kern w:val="0"/>
                <w:sz w:val="20"/>
                <w:szCs w:val="20"/>
                <w:lang w:val="en-US" w:eastAsia="zh-CN" w:bidi="ar"/>
              </w:rPr>
              <w:t>经皮穿刺单次蛛网膜下腔阻滞麻醉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kern w:val="0"/>
                <w:sz w:val="20"/>
                <w:szCs w:val="20"/>
                <w:lang w:val="en-US" w:eastAsia="zh-CN" w:bidi="ar"/>
              </w:rPr>
              <w:t>经皮穿刺连续蛛网膜下腔阻滞麻醉</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麻醉术前访视、麻醉术后随访、椎管内置管术、麻醉中监测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013301000040011</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局部麻醉费（椎管内麻醉）-腰麻硬膜外联合阻滞（加收）</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椎管内麻醉(腰麻硬膜外联合阻滞加收)                      经皮穿刺蛛网膜下腔联合硬膜外腔阻滞麻醉</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013301000050000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全身麻醉费（无插管全麻）</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所定价格涵盖患者准备、消毒、静脉穿刺、注药或吸入、监测、观察、记录、患者复苏、处理用物等步骤所需的人力资源和基本物质资源消耗。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不插管全身麻醉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无插管全麻</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麻醉术前访视、麻醉术后随访、麻醉中监测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013301000060000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全身麻醉费（插管或喉罩）</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所定价格涵盖设备准备、患者准备、静脉穿刺、注药或吸入、气管插管、机械通气、监测、观察、记录、患者复苏、处理用物等步骤所需的人力资源和基本物质资源消耗。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全身麻醉</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术前访视、麻醉术后随访、气管插管术、特殊方法气管插管术、经口置喉罩术、麻醉中监测、麻醉深度电生理监测、控制性降压、持续有创性血压监测、中心静脉压测定、有创性血流动力学监测、术中神经电生理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013301000070000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全身麻醉费（支气管内麻醉）</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所定价格涵盖设备准备、患者准备、静脉穿刺、注药或吸入、支气管插管或封堵、机械通气、监测、观察、记录、患者复苏、处理用物等步骤所需的人力资源和基本物质资源消耗。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支气管内麻醉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肺灌洗麻醉</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术前访视、麻醉术后随访、气管插管术、特殊方法气管插管术、经口置喉罩术、麻醉中监测、麻醉深度电生理监测、控制性降压、持续有创性血压监测、中心静脉压测定、有创性血流动力学监测、术中神经电生理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8</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013301000080000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全身麻醉费（深低温停循环麻醉）</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所定价格涵盖设备准备、患者准备、静脉穿刺、注药或吸入、气管插管、机械通气、监测、观察、记录、患者复苏、处理用物等步骤所需的人力资源和基本物质资源消耗。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1320" w:right="0" w:hanging="1200" w:hangingChars="60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深低温停循环麻醉</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麻醉术前访视、麻醉术后随访、气管插管术、特殊方法气管插管术、经口置喉罩术、麻醉中监测、麻醉深度电生理监测、控制性降压、持续有创性血压监测、中心静脉压测定、有创性血流动力学监测、术中神经电生理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9</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013301000090000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麻醉监护下镇静</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所定价格涵盖设备准备、患者准备、注药、监测、观察、记录、处理用物等步骤所需的人力资源和基本物质资源消耗。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基础麻醉</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口腔治疗笑气吸入镇静</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10</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013301000100000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连续镇痛</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所定价格涵盖注药、观察、记录、处理用物等步骤所需的人力资源和基本物质资源消耗。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术后镇痛</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侧脑室连续镇痛</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硬膜外连续镇痛</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自控硬膜外镇痛治疗</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kern w:val="2"/>
                <w:sz w:val="20"/>
                <w:szCs w:val="20"/>
              </w:rPr>
            </w:pP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43</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中医骨伤</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0"/>
                <w:sz w:val="20"/>
                <w:szCs w:val="20"/>
              </w:rPr>
            </w:pP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014300000010000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手法整复术（关节脱位）</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所定价格涵盖摆位、整复、包扎、必要时固定等步骤，以及必要时使用辅助器械所需的人力资源和基本物质资源消耗。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关节脱位手法整复</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麻醉下腰椎间盘突出症大手法治疗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颞颌关节脱位手法整复术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肩锁关节脱位手法整复术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胸锁关节脱位手法整复术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肩关节脱位手法整复术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肘关节脱位手法整复术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桡骨头半脱位手法整复术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桡骨头脱位手法整复术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下桡尺关节脱位手法整复术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桡腕关节脱位手法整复术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手腕部脱位手法整复术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髌骨脱位手法整复术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足部关节脱位手法整复术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014300000020000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手法整复术（复杂关节脱位）</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所定价格涵盖摆位、整复、包扎、必要时固定等步骤，以及必要时使用辅助器械所需的人力资源和基本物质资源消耗。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关节脱位手法整复(陈旧性脱位)</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关节脱位手法整复(髋关节脱位)</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先天性髋关节脱位手法复位石膏固定术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髋关节脱位手法整复术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014300000030000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手法整复术（骨伤）</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所定价格涵盖摆位、整复、包扎、必要时固定等步骤，以及必要时使用辅助器械所需的人力资源和基本物质资源消耗。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骨折手法整复术(掌(跖)骨折)</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骨折手法整复术(指(趾)骨折)</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骨折畸形愈合手法折骨术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锁骨骨折手法整复术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肱骨大结节骨折手法整复术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肱骨干骨折手法整复术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桡尺骨干双骨折手法整复术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桡尺骨干单骨折手法整复术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桡骨下端骨折手法整复术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掌指骨骨折手法整复术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股骨干骨折手法整复术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股骨髁上骨折手法整复术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胫腓骨干骨折手法整复术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足部骨折手法整复术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 xml:space="preserve">尾骨骨折手法整复术 </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014300000040000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手法整复术（复杂骨伤）</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所定价格涵盖摆位、整复、包扎、必要时固定等步骤，以及必要时使用辅助器械所需的人力资源和基本物质资源消耗。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骨折手法整复术(陈旧性骨折)</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肱骨外科颈骨折手法整复术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肱骨髁上骨折手法整复术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肱骨髁间骨折手法整复术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肱骨内外髁骨折手法整复术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尺骨鹰嘴骨折手法整复术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桡骨头骨折手法整复术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桡骨下端骨折手法整复术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腕舟骨骨折手法整复术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股骨颈/股骨转子间骨折手法整复术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髌骨骨折手法整复术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胫骨髁骨折手法整复术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踝关节单踝骨折手法整复术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踝关节骨折脱位手法整复术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脊柱骨折手法整复术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014300000050000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小夹板固定术</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所定价格涵盖摆位、固定等步骤所需的人力资源和基本物质资源消耗。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220" w:right="0" w:hanging="200" w:hangingChars="10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 xml:space="preserve">骨折夹板外固定术          </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220" w:right="0" w:hanging="200" w:hangingChars="10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锁骨骨折锁骨带外固定术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肋骨骨折叠瓦式外固定术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骨折夹板局部外固定术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骨折超关节夹板外固定术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外固定架安装术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014300000060000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小夹板调整术</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所定价格涵盖观察、调整等步骤所需的人力资源和基本物质资源消耗。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lang w:val="en-US" w:eastAsia="zh-CN" w:bidi="ar"/>
              </w:rPr>
            </w:pPr>
            <w:r>
              <w:rPr>
                <w:rFonts w:hint="eastAsia" w:ascii="宋体" w:hAnsi="宋体" w:eastAsia="宋体" w:cs="宋体"/>
                <w:i w:val="0"/>
                <w:iCs w:val="0"/>
                <w:color w:val="000000"/>
                <w:kern w:val="0"/>
                <w:sz w:val="20"/>
                <w:szCs w:val="20"/>
                <w:lang w:val="en-US" w:eastAsia="zh-CN" w:bidi="ar"/>
              </w:rPr>
              <w:t>骨折夹板外固定术(复查调整)</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小夹板调整术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7</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014300000070000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中医复位内固定术</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所定价格涵盖摆位、消毒、进针、牵拉复位、撬拨、包扎固定等步骤所需的人力资源和基本物质资源消耗。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骨折橇拨复位术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骨折经皮钳夹复位术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骨折闭合复位经皮穿刺（钉）内固定术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经皮穿刺管状骨骨折闭合复位内固定术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经皮穿刺关节骨折闭合复位内固定术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骨圆针拔出术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肱骨外髁骨折撬拨复位术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肱骨小头骨折撬拨复位术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肱骨内上髁骨折撬拨复位术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桡骨头颈部骨折撬拨复位术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腕部经舟骨月骨周围脱位撬拨复位术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股骨髁部骨折撬拨复位术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胫骨髁部骨折撬拨复位术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踝关节骨折撬拨复位术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跟骨骨折撬拨复位术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8</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014300000080000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手法松解术</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所定价格涵盖摆位、手法疏通等步骤，以及必要时使用辅助器械所需的人力资源和基本物质资源消耗。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关节错缝术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关节粘连传统松解术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关节粘连传统松解术(大关节)</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关节粘连手法松解术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大关节粘连手法松解术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膝关节粘连麻醉下推拿松解术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肘关节闭合松解术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kern w:val="2"/>
                <w:sz w:val="20"/>
                <w:szCs w:val="20"/>
              </w:rPr>
            </w:pPr>
            <w:r>
              <w:rPr>
                <w:rFonts w:hint="eastAsia" w:ascii="宋体" w:hAnsi="宋体" w:eastAsia="宋体" w:cs="宋体"/>
                <w:b w:val="0"/>
                <w:bCs w:val="0"/>
                <w:i w:val="0"/>
                <w:iCs w:val="0"/>
                <w:color w:val="000000"/>
                <w:kern w:val="0"/>
                <w:sz w:val="20"/>
                <w:szCs w:val="20"/>
                <w:lang w:val="en-US" w:eastAsia="zh-CN" w:bidi="ar"/>
              </w:rPr>
              <w:t>9</w:t>
            </w:r>
          </w:p>
        </w:tc>
        <w:tc>
          <w:tcPr>
            <w:tcW w:w="184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014300000090000</w:t>
            </w:r>
          </w:p>
        </w:tc>
        <w:tc>
          <w:tcPr>
            <w:tcW w:w="230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手法挤压术</w:t>
            </w:r>
          </w:p>
        </w:tc>
        <w:tc>
          <w:tcPr>
            <w:tcW w:w="311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kern w:val="2"/>
                <w:sz w:val="20"/>
                <w:szCs w:val="20"/>
              </w:rPr>
            </w:pPr>
            <w:r>
              <w:rPr>
                <w:rFonts w:hint="eastAsia" w:ascii="宋体" w:hAnsi="宋体" w:eastAsia="宋体" w:cs="宋体"/>
                <w:i w:val="0"/>
                <w:iCs w:val="0"/>
                <w:color w:val="000000"/>
                <w:kern w:val="0"/>
                <w:sz w:val="20"/>
                <w:szCs w:val="20"/>
                <w:lang w:val="en-US" w:eastAsia="zh-CN" w:bidi="ar"/>
              </w:rPr>
              <w:t>所定价格涵盖定位、抚触、挤压等步骤所需的人力资源和基本物质资源消耗。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腱鞘囊肿挤压术</w:t>
            </w:r>
          </w:p>
        </w:tc>
        <w:tc>
          <w:tcPr>
            <w:tcW w:w="23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0"/>
                <w:sz w:val="20"/>
                <w:szCs w:val="20"/>
              </w:rPr>
            </w:pPr>
          </w:p>
        </w:tc>
        <w:tc>
          <w:tcPr>
            <w:tcW w:w="1845" w:type="dxa"/>
            <w:tcBorders>
              <w:top w:val="single" w:color="auto" w:sz="4" w:space="0"/>
              <w:left w:val="nil"/>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46</w:t>
            </w:r>
          </w:p>
        </w:tc>
        <w:tc>
          <w:tcPr>
            <w:tcW w:w="2300" w:type="dxa"/>
            <w:tcBorders>
              <w:top w:val="single" w:color="auto" w:sz="4" w:space="0"/>
              <w:left w:val="nil"/>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中医特殊疗法</w:t>
            </w:r>
          </w:p>
        </w:tc>
        <w:tc>
          <w:tcPr>
            <w:tcW w:w="3114" w:type="dxa"/>
            <w:tcBorders>
              <w:top w:val="single" w:color="auto" w:sz="4" w:space="0"/>
              <w:left w:val="nil"/>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p>
        </w:tc>
        <w:tc>
          <w:tcPr>
            <w:tcW w:w="3889" w:type="dxa"/>
            <w:tcBorders>
              <w:top w:val="single" w:color="auto" w:sz="4" w:space="0"/>
              <w:left w:val="nil"/>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p>
        </w:tc>
        <w:tc>
          <w:tcPr>
            <w:tcW w:w="2383" w:type="dxa"/>
            <w:tcBorders>
              <w:top w:val="single" w:color="auto" w:sz="4" w:space="0"/>
              <w:left w:val="nil"/>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bCs/>
                <w:i w:val="0"/>
                <w:iCs w:val="0"/>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restart"/>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1</w:t>
            </w:r>
          </w:p>
        </w:tc>
        <w:tc>
          <w:tcPr>
            <w:tcW w:w="1845" w:type="dxa"/>
            <w:tcBorders>
              <w:top w:val="single" w:color="000000" w:sz="4" w:space="0"/>
              <w:left w:val="nil"/>
              <w:bottom w:val="nil"/>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014600000010000</w:t>
            </w:r>
          </w:p>
        </w:tc>
        <w:tc>
          <w:tcPr>
            <w:tcW w:w="2300" w:type="dxa"/>
            <w:tcBorders>
              <w:top w:val="single" w:color="000000" w:sz="4" w:space="0"/>
              <w:left w:val="nil"/>
              <w:bottom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针刀（钩活）疗法</w:t>
            </w:r>
          </w:p>
        </w:tc>
        <w:tc>
          <w:tcPr>
            <w:tcW w:w="3114" w:type="dxa"/>
            <w:tcBorders>
              <w:top w:val="single" w:color="000000" w:sz="4" w:space="0"/>
              <w:left w:val="nil"/>
              <w:bottom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所定价格涵盖定位、穿刺、剥离、包扎等人力资源和基本物质资源消耗。</w:t>
            </w:r>
          </w:p>
        </w:tc>
        <w:tc>
          <w:tcPr>
            <w:tcW w:w="3889" w:type="dxa"/>
            <w:tcBorders>
              <w:top w:val="single" w:color="000000" w:sz="4" w:space="0"/>
              <w:left w:val="nil"/>
              <w:bottom w:val="nil"/>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小针刀治疗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bookmarkStart w:id="1" w:name="OLE_LINK1"/>
            <w:r>
              <w:rPr>
                <w:rFonts w:hint="eastAsia" w:ascii="宋体" w:hAnsi="宋体" w:eastAsia="宋体" w:cs="宋体"/>
                <w:i w:val="0"/>
                <w:iCs w:val="0"/>
                <w:color w:val="000000"/>
                <w:kern w:val="0"/>
                <w:sz w:val="20"/>
                <w:szCs w:val="20"/>
                <w:lang w:val="en-US" w:eastAsia="zh-CN" w:bidi="ar"/>
              </w:rPr>
              <w:t>激光针刀</w:t>
            </w:r>
            <w:bookmarkEnd w:id="1"/>
            <w:r>
              <w:rPr>
                <w:rFonts w:hint="eastAsia" w:ascii="宋体" w:hAnsi="宋体" w:eastAsia="宋体" w:cs="宋体"/>
                <w:i w:val="0"/>
                <w:iCs w:val="0"/>
                <w:color w:val="000000"/>
                <w:kern w:val="0"/>
                <w:sz w:val="20"/>
                <w:szCs w:val="20"/>
                <w:lang w:val="en-US" w:eastAsia="zh-CN" w:bidi="ar"/>
              </w:rPr>
              <w:t>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刃针治疗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水针刀治疗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铍针治疗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钩活治疗</w:t>
            </w:r>
          </w:p>
        </w:tc>
        <w:tc>
          <w:tcPr>
            <w:tcW w:w="2383" w:type="dxa"/>
            <w:tcBorders>
              <w:top w:val="single" w:color="000000" w:sz="4" w:space="0"/>
              <w:left w:val="nil"/>
              <w:bottom w:val="single" w:color="000000" w:sz="4" w:space="0"/>
              <w:right w:val="outset" w:color="auto" w:sz="6"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vMerge w:val="continue"/>
            <w:tcBorders>
              <w:top w:val="nil"/>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sz w:val="20"/>
                <w:szCs w:val="20"/>
              </w:rPr>
            </w:pPr>
          </w:p>
        </w:tc>
        <w:tc>
          <w:tcPr>
            <w:tcW w:w="184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014600000010001</w:t>
            </w:r>
          </w:p>
        </w:tc>
        <w:tc>
          <w:tcPr>
            <w:tcW w:w="230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针刀（钩活）疗法-脊柱针刀疗法（加收）</w:t>
            </w:r>
          </w:p>
        </w:tc>
        <w:tc>
          <w:tcPr>
            <w:tcW w:w="3114"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3889" w:type="dxa"/>
            <w:tcBorders>
              <w:top w:val="single" w:color="000000" w:sz="4" w:space="0"/>
              <w:left w:val="nil"/>
              <w:bottom w:val="nil"/>
              <w:right w:val="single" w:color="000000" w:sz="4" w:space="0"/>
            </w:tcBorders>
            <w:shd w:val="clear" w:color="auto" w:fill="auto"/>
            <w:tcMar>
              <w:top w:w="0" w:type="dxa"/>
              <w:left w:w="57" w:type="dxa"/>
              <w:bottom w:w="0" w:type="dxa"/>
              <w:right w:w="57" w:type="dxa"/>
            </w:tcMar>
            <w:vAlign w:val="top"/>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脊柱针刀治疗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脊柱刃针治疗</w:t>
            </w:r>
          </w:p>
        </w:tc>
        <w:tc>
          <w:tcPr>
            <w:tcW w:w="2383" w:type="dxa"/>
            <w:tcBorders>
              <w:top w:val="single" w:color="000000" w:sz="4" w:space="0"/>
              <w:left w:val="nil"/>
              <w:bottom w:val="single" w:color="000000" w:sz="4" w:space="0"/>
              <w:right w:val="outset" w:color="auto" w:sz="6"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2</w:t>
            </w:r>
          </w:p>
        </w:tc>
        <w:tc>
          <w:tcPr>
            <w:tcW w:w="184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014600000020000</w:t>
            </w:r>
          </w:p>
        </w:tc>
        <w:tc>
          <w:tcPr>
            <w:tcW w:w="230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点穴疗法</w:t>
            </w:r>
          </w:p>
        </w:tc>
        <w:tc>
          <w:tcPr>
            <w:tcW w:w="3114"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所定价格涵盖定位、施压等人力资源和基本物质资源消耗。</w:t>
            </w:r>
          </w:p>
        </w:tc>
        <w:tc>
          <w:tcPr>
            <w:tcW w:w="388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手指点穴治疗</w:t>
            </w:r>
          </w:p>
        </w:tc>
        <w:tc>
          <w:tcPr>
            <w:tcW w:w="2383" w:type="dxa"/>
            <w:tcBorders>
              <w:top w:val="single" w:color="000000" w:sz="4" w:space="0"/>
              <w:left w:val="nil"/>
              <w:bottom w:val="single" w:color="000000" w:sz="4" w:space="0"/>
              <w:right w:val="outset" w:color="auto" w:sz="6"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52"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3</w:t>
            </w:r>
          </w:p>
        </w:tc>
        <w:tc>
          <w:tcPr>
            <w:tcW w:w="184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014600000030000</w:t>
            </w:r>
          </w:p>
        </w:tc>
        <w:tc>
          <w:tcPr>
            <w:tcW w:w="230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中医烙法</w:t>
            </w:r>
          </w:p>
        </w:tc>
        <w:tc>
          <w:tcPr>
            <w:tcW w:w="3114"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所定价格涵盖定位、消毒、烙烫等人力资源和基本物质资源消耗。</w:t>
            </w:r>
          </w:p>
        </w:tc>
        <w:tc>
          <w:tcPr>
            <w:tcW w:w="388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top"/>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rPr>
            </w:pPr>
            <w:r>
              <w:rPr>
                <w:rFonts w:hint="eastAsia" w:ascii="宋体" w:hAnsi="宋体" w:eastAsia="宋体" w:cs="宋体"/>
                <w:i w:val="0"/>
                <w:iCs w:val="0"/>
                <w:color w:val="000000"/>
                <w:kern w:val="0"/>
                <w:sz w:val="20"/>
                <w:szCs w:val="20"/>
                <w:lang w:val="en-US" w:eastAsia="zh-CN" w:bidi="ar"/>
              </w:rPr>
              <w:t>鼻中隔烙法治疗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top"/>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扁桃体烙法治疗</w:t>
            </w:r>
          </w:p>
        </w:tc>
        <w:tc>
          <w:tcPr>
            <w:tcW w:w="2383" w:type="dxa"/>
            <w:tcBorders>
              <w:top w:val="single" w:color="000000" w:sz="4" w:space="0"/>
              <w:left w:val="nil"/>
              <w:bottom w:val="single" w:color="000000" w:sz="4" w:space="0"/>
              <w:right w:val="outset" w:color="auto" w:sz="6"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8"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4</w:t>
            </w:r>
          </w:p>
        </w:tc>
        <w:tc>
          <w:tcPr>
            <w:tcW w:w="184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014600000040000</w:t>
            </w:r>
          </w:p>
        </w:tc>
        <w:tc>
          <w:tcPr>
            <w:tcW w:w="230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白内障针拨术</w:t>
            </w:r>
          </w:p>
        </w:tc>
        <w:tc>
          <w:tcPr>
            <w:tcW w:w="3114"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所定价格涵盖散瞳、消毒、开睑、切口、拨障针拨断晶状体悬韧带、晶体压入玻璃体腔、出针、闭合切口、包扎等人力资源和基本物质资源消耗。</w:t>
            </w:r>
          </w:p>
        </w:tc>
        <w:tc>
          <w:tcPr>
            <w:tcW w:w="388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i w:val="0"/>
                <w:iCs w:val="0"/>
                <w:color w:val="000000"/>
                <w:kern w:val="2"/>
                <w:sz w:val="20"/>
                <w:szCs w:val="20"/>
              </w:rPr>
            </w:pPr>
          </w:p>
        </w:tc>
        <w:tc>
          <w:tcPr>
            <w:tcW w:w="2383" w:type="dxa"/>
            <w:tcBorders>
              <w:top w:val="single" w:color="000000" w:sz="4" w:space="0"/>
              <w:left w:val="nil"/>
              <w:bottom w:val="single" w:color="000000" w:sz="4" w:space="0"/>
              <w:right w:val="outset" w:color="auto" w:sz="6"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sz w:val="20"/>
                <w:szCs w:val="20"/>
              </w:rPr>
            </w:pPr>
            <w:r>
              <w:rPr>
                <w:rFonts w:hint="eastAsia" w:ascii="宋体" w:hAnsi="宋体" w:eastAsia="宋体" w:cs="宋体"/>
                <w:i w:val="0"/>
                <w:iCs w:val="0"/>
                <w:color w:val="000000"/>
                <w:kern w:val="0"/>
                <w:sz w:val="20"/>
                <w:szCs w:val="20"/>
                <w:lang w:val="en-US" w:eastAsia="zh-CN" w:bidi="ar"/>
              </w:rPr>
              <w:t>白内障针拨吸出术、白内障针拨套出术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5</w:t>
            </w:r>
          </w:p>
        </w:tc>
        <w:tc>
          <w:tcPr>
            <w:tcW w:w="184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014600000050000</w:t>
            </w:r>
          </w:p>
        </w:tc>
        <w:tc>
          <w:tcPr>
            <w:tcW w:w="230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足底反射疗法</w:t>
            </w:r>
          </w:p>
        </w:tc>
        <w:tc>
          <w:tcPr>
            <w:tcW w:w="3114"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所定价格涵盖泡洗、定位、穴位刺激等人力资源和基本物质资源消耗。</w:t>
            </w:r>
          </w:p>
        </w:tc>
        <w:tc>
          <w:tcPr>
            <w:tcW w:w="3889"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足底反射治疗</w:t>
            </w:r>
          </w:p>
        </w:tc>
        <w:tc>
          <w:tcPr>
            <w:tcW w:w="2383" w:type="dxa"/>
            <w:tcBorders>
              <w:top w:val="single" w:color="000000" w:sz="4" w:space="0"/>
              <w:left w:val="nil"/>
              <w:bottom w:val="single" w:color="000000" w:sz="4" w:space="0"/>
              <w:right w:val="outset" w:color="auto" w:sz="6"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0"/>
                <w:szCs w:val="20"/>
              </w:rPr>
            </w:pPr>
            <w:r>
              <w:rPr>
                <w:rFonts w:hint="eastAsia" w:ascii="宋体" w:hAnsi="宋体" w:eastAsia="宋体" w:cs="宋体"/>
                <w:b w:val="0"/>
                <w:bCs w:val="0"/>
                <w:i w:val="0"/>
                <w:iCs w:val="0"/>
                <w:color w:val="000000"/>
                <w:kern w:val="0"/>
                <w:sz w:val="20"/>
                <w:szCs w:val="20"/>
                <w:lang w:val="en-US" w:eastAsia="zh-CN" w:bidi="ar"/>
              </w:rPr>
              <w:t>6</w:t>
            </w:r>
          </w:p>
        </w:tc>
        <w:tc>
          <w:tcPr>
            <w:tcW w:w="1845"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014600000060000</w:t>
            </w:r>
          </w:p>
        </w:tc>
        <w:tc>
          <w:tcPr>
            <w:tcW w:w="2300"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红皮病清消治疗</w:t>
            </w:r>
          </w:p>
        </w:tc>
        <w:tc>
          <w:tcPr>
            <w:tcW w:w="3114" w:type="dxa"/>
            <w:tcBorders>
              <w:top w:val="single" w:color="000000" w:sz="4" w:space="0"/>
              <w:left w:val="nil"/>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所定价格涵盖消毒、清创、敷药、包扎等人力资源和基本物质资源消耗。</w:t>
            </w:r>
          </w:p>
        </w:tc>
        <w:tc>
          <w:tcPr>
            <w:tcW w:w="3889" w:type="dxa"/>
            <w:tcBorders>
              <w:top w:val="single" w:color="000000" w:sz="4" w:space="0"/>
              <w:left w:val="nil"/>
              <w:bottom w:val="single" w:color="000000" w:sz="4" w:space="0"/>
              <w:right w:val="single" w:color="000000" w:sz="4" w:space="0"/>
            </w:tcBorders>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i w:val="0"/>
                <w:iCs w:val="0"/>
                <w:color w:val="000000"/>
                <w:kern w:val="2"/>
                <w:sz w:val="20"/>
                <w:szCs w:val="20"/>
              </w:rPr>
            </w:pPr>
            <w:r>
              <w:rPr>
                <w:rFonts w:hint="eastAsia" w:ascii="宋体" w:hAnsi="宋体" w:eastAsia="宋体" w:cs="宋体"/>
                <w:i w:val="0"/>
                <w:iCs w:val="0"/>
                <w:color w:val="000000"/>
                <w:kern w:val="0"/>
                <w:sz w:val="20"/>
                <w:szCs w:val="20"/>
                <w:lang w:val="en-US" w:eastAsia="zh-CN" w:bidi="ar"/>
              </w:rPr>
              <w:t>红皮病清消术</w:t>
            </w:r>
          </w:p>
        </w:tc>
        <w:tc>
          <w:tcPr>
            <w:tcW w:w="2383" w:type="dxa"/>
            <w:tcBorders>
              <w:top w:val="single" w:color="000000" w:sz="4" w:space="0"/>
              <w:left w:val="nil"/>
              <w:bottom w:val="single" w:color="000000" w:sz="4" w:space="0"/>
              <w:right w:val="outset" w:color="auto" w:sz="6"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sz w:val="20"/>
                <w:szCs w:val="20"/>
              </w:rPr>
            </w:pPr>
          </w:p>
        </w:tc>
      </w:tr>
    </w:tbl>
    <w:p>
      <w:pPr>
        <w:ind w:firstLine="400" w:firstLineChars="200"/>
        <w:rPr>
          <w:rFonts w:hint="eastAsia" w:ascii="宋体" w:hAnsi="宋体" w:eastAsia="宋体" w:cs="宋体"/>
          <w:sz w:val="20"/>
          <w:szCs w:val="20"/>
        </w:rPr>
      </w:pPr>
    </w:p>
    <w:p>
      <w:pPr>
        <w:ind w:firstLine="640" w:firstLineChars="200"/>
        <w:rPr>
          <w:rFonts w:eastAsia="仿宋_GB2312" w:cs="Times New Roman"/>
        </w:rPr>
        <w:sectPr>
          <w:footerReference r:id="rId5" w:type="default"/>
          <w:footerReference r:id="rId6" w:type="even"/>
          <w:pgSz w:w="16838" w:h="11906" w:orient="landscape"/>
          <w:pgMar w:top="1502" w:right="1701" w:bottom="1502" w:left="1701" w:header="851" w:footer="1134" w:gutter="0"/>
          <w:pgNumType w:fmt="decimal"/>
          <w:cols w:space="0" w:num="1"/>
          <w:rtlGutter w:val="0"/>
          <w:docGrid w:type="lines" w:linePitch="579" w:charSpace="0"/>
        </w:sectPr>
      </w:pPr>
    </w:p>
    <w:p>
      <w:pPr>
        <w:rPr>
          <w:rFonts w:hint="eastAsia" w:eastAsia="仿宋_GB2312" w:cs="Times New Roman"/>
        </w:rPr>
      </w:pPr>
    </w:p>
    <w:sectPr>
      <w:footerReference r:id="rId7" w:type="default"/>
      <w:footerReference r:id="rId8" w:type="even"/>
      <w:pgSz w:w="11906" w:h="16838"/>
      <w:pgMar w:top="2098" w:right="1502" w:bottom="1984" w:left="1502" w:header="851" w:footer="1701" w:gutter="0"/>
      <w:cols w:space="0" w:num="1"/>
      <w:docGrid w:type="line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简体">
    <w:altName w:val="方正仿宋_GBK"/>
    <w:panose1 w:val="02010601030101010101"/>
    <w:charset w:val="86"/>
    <w:family w:val="auto"/>
    <w:pitch w:val="default"/>
    <w:sig w:usb0="00000000" w:usb1="00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eastAsia="方正仿宋简体" w:cs="方正仿宋简体"/>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271905" cy="1828800"/>
              <wp:effectExtent l="0" t="0" r="0" b="0"/>
              <wp:wrapNone/>
              <wp:docPr id="11" name="文本框 11"/>
              <wp:cNvGraphicFramePr/>
              <a:graphic xmlns:a="http://schemas.openxmlformats.org/drawingml/2006/main">
                <a:graphicData uri="http://schemas.microsoft.com/office/word/2010/wordprocessingShape">
                  <wps:wsp>
                    <wps:cNvSpPr txBox="true"/>
                    <wps:spPr>
                      <a:xfrm>
                        <a:off x="942340" y="9480550"/>
                        <a:ext cx="1271905"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ind w:left="413" w:leftChars="129" w:right="413" w:rightChars="129"/>
                            <w:jc w:val="right"/>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1</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wps:txbx>
                    <wps:bodyPr rot="0" spcFirstLastPara="0" vertOverflow="overflow" horzOverflow="overflow" vert="horz" wrap="squar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00.15pt;mso-position-horizontal:outside;mso-position-horizontal-relative:margin;z-index:251659264;mso-width-relative:page;mso-height-relative:page;" filled="f" stroked="f" coordsize="21600,21600" o:gfxdata="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&#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IvCyP/SAAAABQEAAA8AAAAAAAAAAQAgAAAAOAAAAGRy&#10;cy9kb3ducmV2LnhtbFBLAQIUABQAAAAIAIdO4kDWm/0LLgIAADYEAAAOAAAAAAAAAAEAIAAAADcB&#10;AABkcnMvZTJvRG9jLnhtbFBLBQYAAAAABgAGAFkBAADXBQAAAAA=&#10;">
              <v:fill on="f" focussize="0,0"/>
              <v:stroke on="f" weight="0.5pt"/>
              <v:imagedata o:title=""/>
              <o:lock v:ext="edit" aspectratio="f"/>
              <v:textbox inset="0mm,0mm,0mm,0mm" style="mso-fit-shape-to-text:t;">
                <w:txbxContent>
                  <w:p>
                    <w:pPr>
                      <w:tabs>
                        <w:tab w:val="center" w:pos="4153"/>
                        <w:tab w:val="right" w:pos="8306"/>
                      </w:tabs>
                      <w:snapToGrid w:val="0"/>
                      <w:ind w:left="413" w:leftChars="129" w:right="413" w:rightChars="129"/>
                      <w:jc w:val="right"/>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1</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eastAsia="方正仿宋简体" w:cs="方正仿宋简体"/>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271905" cy="1828800"/>
              <wp:effectExtent l="0" t="0" r="0" b="0"/>
              <wp:wrapNone/>
              <wp:docPr id="1" name="文本框 1"/>
              <wp:cNvGraphicFramePr/>
              <a:graphic xmlns:a="http://schemas.openxmlformats.org/drawingml/2006/main">
                <a:graphicData uri="http://schemas.microsoft.com/office/word/2010/wordprocessingShape">
                  <wps:wsp>
                    <wps:cNvSpPr txBox="true"/>
                    <wps:spPr>
                      <a:xfrm>
                        <a:off x="942340" y="9480550"/>
                        <a:ext cx="1271905"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ind w:left="413" w:leftChars="129" w:right="413" w:rightChars="129"/>
                            <w:jc w:val="left"/>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2</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wps:txbx>
                    <wps:bodyPr rot="0" spcFirstLastPara="0" vertOverflow="overflow" horzOverflow="overflow" vert="horz" wrap="squar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00.15pt;mso-position-horizontal:outside;mso-position-horizontal-relative:margin;z-index:251660288;mso-width-relative:page;mso-height-relative:page;" filled="f" stroked="f" coordsize="21600,21600" o:gfxdata="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FgAAAGRycy9QSwECFAAUAAAACACHTuJAi8LI/9IAAAAFAQAADwAAAAAAAAABACAAAAA4AAAAZHJz&#10;L2Rvd25yZXYueG1sUEsBAhQAFAAAAAgAh07iQGZUPWgtAgAANAQAAA4AAAAAAAAAAQAgAAAANwEA&#10;AGRycy9lMm9Eb2MueG1sUEsFBgAAAAAGAAYAWQEAANYFAAAAAA==&#10;">
              <v:fill on="f" focussize="0,0"/>
              <v:stroke on="f" weight="0.5pt"/>
              <v:imagedata o:title=""/>
              <o:lock v:ext="edit" aspectratio="f"/>
              <v:textbox inset="0mm,0mm,0mm,0mm" style="mso-fit-shape-to-text:t;">
                <w:txbxContent>
                  <w:p>
                    <w:pPr>
                      <w:tabs>
                        <w:tab w:val="center" w:pos="4153"/>
                        <w:tab w:val="right" w:pos="8306"/>
                      </w:tabs>
                      <w:snapToGrid w:val="0"/>
                      <w:ind w:left="413" w:leftChars="129" w:right="413" w:rightChars="129"/>
                      <w:jc w:val="left"/>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2</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eastAsia="方正仿宋简体" w:cs="方正仿宋简体"/>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1905" cy="1828800"/>
              <wp:effectExtent l="0" t="0" r="0" b="0"/>
              <wp:wrapNone/>
              <wp:docPr id="7" name="文本框 7"/>
              <wp:cNvGraphicFramePr/>
              <a:graphic xmlns:a="http://schemas.openxmlformats.org/drawingml/2006/main">
                <a:graphicData uri="http://schemas.microsoft.com/office/word/2010/wordprocessingShape">
                  <wps:wsp>
                    <wps:cNvSpPr txBox="true"/>
                    <wps:spPr>
                      <a:xfrm>
                        <a:off x="942340" y="9480550"/>
                        <a:ext cx="1271905"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ind w:left="413" w:leftChars="129" w:right="413" w:rightChars="129"/>
                            <w:jc w:val="center"/>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1</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wps:txbx>
                    <wps:bodyPr rot="0" spcFirstLastPara="0" vertOverflow="overflow" horzOverflow="overflow" vert="horz" wrap="squar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00.15pt;mso-position-horizontal:center;mso-position-horizontal-relative:margin;z-index:251661312;mso-width-relative:page;mso-height-relative:page;" filled="f" stroked="f" coordsize="21600,21600" o:gfxdata="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&#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IvCyP/SAAAABQEAAA8AAAAAAAAAAQAgAAAAOAAAAGRy&#10;cy9kb3ducmV2LnhtbFBLAQIUABQAAAAIAIdO4kDtbzTCLgIAADQEAAAOAAAAAAAAAAEAIAAAADcB&#10;AABkcnMvZTJvRG9jLnhtbFBLBQYAAAAABgAGAFkBAADXBQAAAAA=&#10;">
              <v:fill on="f" focussize="0,0"/>
              <v:stroke on="f" weight="0.5pt"/>
              <v:imagedata o:title=""/>
              <o:lock v:ext="edit" aspectratio="f"/>
              <v:textbox inset="0mm,0mm,0mm,0mm" style="mso-fit-shape-to-text:t;">
                <w:txbxContent>
                  <w:p>
                    <w:pPr>
                      <w:tabs>
                        <w:tab w:val="center" w:pos="4153"/>
                        <w:tab w:val="right" w:pos="8306"/>
                      </w:tabs>
                      <w:snapToGrid w:val="0"/>
                      <w:ind w:left="413" w:leftChars="129" w:right="413" w:rightChars="129"/>
                      <w:jc w:val="center"/>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1</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eastAsia="方正仿宋简体" w:cs="方正仿宋简体"/>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71905" cy="1828800"/>
              <wp:effectExtent l="0" t="0" r="0" b="0"/>
              <wp:wrapNone/>
              <wp:docPr id="8" name="文本框 8"/>
              <wp:cNvGraphicFramePr/>
              <a:graphic xmlns:a="http://schemas.openxmlformats.org/drawingml/2006/main">
                <a:graphicData uri="http://schemas.microsoft.com/office/word/2010/wordprocessingShape">
                  <wps:wsp>
                    <wps:cNvSpPr txBox="true"/>
                    <wps:spPr>
                      <a:xfrm>
                        <a:off x="942340" y="9480550"/>
                        <a:ext cx="1271905"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ind w:left="413" w:leftChars="129" w:right="413" w:rightChars="129"/>
                            <w:jc w:val="center"/>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2</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wps:txbx>
                    <wps:bodyPr rot="0" spcFirstLastPara="0" vertOverflow="overflow" horzOverflow="overflow" vert="horz" wrap="squar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00.15pt;mso-position-horizontal:center;mso-position-horizontal-relative:margin;z-index:251662336;mso-width-relative:page;mso-height-relative:page;" filled="f" stroked="f" coordsize="21600,21600" o:gfxdata="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&#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IvCyP/SAAAABQEAAA8AAAAAAAAAAQAgAAAAOAAAAGRy&#10;cy9kb3ducmV2LnhtbFBLAQIUABQAAAAIAIdO4kBfAOv1LgIAADQEAAAOAAAAAAAAAAEAIAAAADcB&#10;AABkcnMvZTJvRG9jLnhtbFBLBQYAAAAABgAGAFkBAADXBQAAAAA=&#10;">
              <v:fill on="f" focussize="0,0"/>
              <v:stroke on="f" weight="0.5pt"/>
              <v:imagedata o:title=""/>
              <o:lock v:ext="edit" aspectratio="f"/>
              <v:textbox inset="0mm,0mm,0mm,0mm" style="mso-fit-shape-to-text:t;">
                <w:txbxContent>
                  <w:p>
                    <w:pPr>
                      <w:tabs>
                        <w:tab w:val="center" w:pos="4153"/>
                        <w:tab w:val="right" w:pos="8306"/>
                      </w:tabs>
                      <w:snapToGrid w:val="0"/>
                      <w:ind w:left="413" w:leftChars="129" w:right="413" w:rightChars="129"/>
                      <w:jc w:val="center"/>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2</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7EE3B9"/>
    <w:multiLevelType w:val="multilevel"/>
    <w:tmpl w:val="EB7EE3B9"/>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evenAndOddHeaders w:val="true"/>
  <w:drawingGridVerticalSpacing w:val="290"/>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yZjEwNzI5NjY0YTZmNjgyMmNmYmYzYjBlMTdjOTcifQ=="/>
  </w:docVars>
  <w:rsids>
    <w:rsidRoot w:val="0E900702"/>
    <w:rsid w:val="001C6858"/>
    <w:rsid w:val="00AD0031"/>
    <w:rsid w:val="00C7424E"/>
    <w:rsid w:val="00D04353"/>
    <w:rsid w:val="00ED4CA4"/>
    <w:rsid w:val="011F0B23"/>
    <w:rsid w:val="016F6796"/>
    <w:rsid w:val="041459D8"/>
    <w:rsid w:val="053C9509"/>
    <w:rsid w:val="06DDD885"/>
    <w:rsid w:val="07261D8A"/>
    <w:rsid w:val="0A352EF0"/>
    <w:rsid w:val="0B126805"/>
    <w:rsid w:val="0C523547"/>
    <w:rsid w:val="0CFEC23B"/>
    <w:rsid w:val="0E5E3E84"/>
    <w:rsid w:val="0E900702"/>
    <w:rsid w:val="0F5F61E0"/>
    <w:rsid w:val="0FC5D0FC"/>
    <w:rsid w:val="103D0CF6"/>
    <w:rsid w:val="1056041C"/>
    <w:rsid w:val="13571CBE"/>
    <w:rsid w:val="17BA5A09"/>
    <w:rsid w:val="196D2F1C"/>
    <w:rsid w:val="1B225CD2"/>
    <w:rsid w:val="1B610F3A"/>
    <w:rsid w:val="1B8EEE51"/>
    <w:rsid w:val="1CFA5EE2"/>
    <w:rsid w:val="1D7DE65E"/>
    <w:rsid w:val="1EFF4A59"/>
    <w:rsid w:val="1F211DEC"/>
    <w:rsid w:val="1FD6C36D"/>
    <w:rsid w:val="1FF74246"/>
    <w:rsid w:val="1FF7DF06"/>
    <w:rsid w:val="20EB5EB9"/>
    <w:rsid w:val="22946545"/>
    <w:rsid w:val="24B72281"/>
    <w:rsid w:val="25D84F06"/>
    <w:rsid w:val="26E8D10C"/>
    <w:rsid w:val="28DB0EFF"/>
    <w:rsid w:val="29379B45"/>
    <w:rsid w:val="2AFA300F"/>
    <w:rsid w:val="2B3A4168"/>
    <w:rsid w:val="2BFDB9B0"/>
    <w:rsid w:val="2BFFDE31"/>
    <w:rsid w:val="2CA760BB"/>
    <w:rsid w:val="2D662A0E"/>
    <w:rsid w:val="2DF944FC"/>
    <w:rsid w:val="2DFC826E"/>
    <w:rsid w:val="2DFD2E74"/>
    <w:rsid w:val="2F4657F7"/>
    <w:rsid w:val="2FBB2890"/>
    <w:rsid w:val="2FBF101B"/>
    <w:rsid w:val="3322349B"/>
    <w:rsid w:val="337FB599"/>
    <w:rsid w:val="35E6607D"/>
    <w:rsid w:val="373FFE50"/>
    <w:rsid w:val="376FDF07"/>
    <w:rsid w:val="378E6333"/>
    <w:rsid w:val="37DB581B"/>
    <w:rsid w:val="37FBD45E"/>
    <w:rsid w:val="37FFDB67"/>
    <w:rsid w:val="39B5AAD6"/>
    <w:rsid w:val="39E85317"/>
    <w:rsid w:val="39FF397B"/>
    <w:rsid w:val="3AA77CA8"/>
    <w:rsid w:val="3B9F1D32"/>
    <w:rsid w:val="3BF3EDF1"/>
    <w:rsid w:val="3C9EDB05"/>
    <w:rsid w:val="3CED6FA9"/>
    <w:rsid w:val="3CFF0243"/>
    <w:rsid w:val="3D6D2822"/>
    <w:rsid w:val="3D7D4B5F"/>
    <w:rsid w:val="3DFBCCFB"/>
    <w:rsid w:val="3E041CBD"/>
    <w:rsid w:val="3E9E551A"/>
    <w:rsid w:val="3EDDE117"/>
    <w:rsid w:val="3EFF63FC"/>
    <w:rsid w:val="3F7348C3"/>
    <w:rsid w:val="3F9B720B"/>
    <w:rsid w:val="3FB70C63"/>
    <w:rsid w:val="3FFB8839"/>
    <w:rsid w:val="3FFF6FD1"/>
    <w:rsid w:val="40E5601A"/>
    <w:rsid w:val="42CB3E0A"/>
    <w:rsid w:val="42DC702D"/>
    <w:rsid w:val="42F36125"/>
    <w:rsid w:val="435FA5A6"/>
    <w:rsid w:val="44136A7F"/>
    <w:rsid w:val="46DC425B"/>
    <w:rsid w:val="46DF7A56"/>
    <w:rsid w:val="47571E8B"/>
    <w:rsid w:val="479B6DA5"/>
    <w:rsid w:val="486D0E8C"/>
    <w:rsid w:val="489866B2"/>
    <w:rsid w:val="49FE3E53"/>
    <w:rsid w:val="4A570F3A"/>
    <w:rsid w:val="4A5B2F2E"/>
    <w:rsid w:val="4B74ADFE"/>
    <w:rsid w:val="4B9004B5"/>
    <w:rsid w:val="4BE409EB"/>
    <w:rsid w:val="4BFF42F7"/>
    <w:rsid w:val="4F5EA04B"/>
    <w:rsid w:val="4F7DF985"/>
    <w:rsid w:val="4F8A1341"/>
    <w:rsid w:val="4F9166ED"/>
    <w:rsid w:val="4FD76C02"/>
    <w:rsid w:val="4FDD6193"/>
    <w:rsid w:val="4FFFD042"/>
    <w:rsid w:val="521A547C"/>
    <w:rsid w:val="54766CA7"/>
    <w:rsid w:val="54B9B88A"/>
    <w:rsid w:val="55DC5257"/>
    <w:rsid w:val="57135F02"/>
    <w:rsid w:val="57790624"/>
    <w:rsid w:val="57E838D0"/>
    <w:rsid w:val="57FF07B8"/>
    <w:rsid w:val="580D40E7"/>
    <w:rsid w:val="59214AB7"/>
    <w:rsid w:val="5ADF1EEF"/>
    <w:rsid w:val="5AE91224"/>
    <w:rsid w:val="5B2DDD5C"/>
    <w:rsid w:val="5BBFDC15"/>
    <w:rsid w:val="5E900175"/>
    <w:rsid w:val="5ED9B19E"/>
    <w:rsid w:val="5F72B78D"/>
    <w:rsid w:val="5F7E9482"/>
    <w:rsid w:val="5FAEC1F0"/>
    <w:rsid w:val="5FD40CCA"/>
    <w:rsid w:val="5FDFAA96"/>
    <w:rsid w:val="5FE42578"/>
    <w:rsid w:val="5FF71C86"/>
    <w:rsid w:val="5FF9BF35"/>
    <w:rsid w:val="60092CF5"/>
    <w:rsid w:val="619E2F15"/>
    <w:rsid w:val="61FC1271"/>
    <w:rsid w:val="62FED1E6"/>
    <w:rsid w:val="635F9206"/>
    <w:rsid w:val="63D12149"/>
    <w:rsid w:val="63D7E758"/>
    <w:rsid w:val="641C25C9"/>
    <w:rsid w:val="657C1922"/>
    <w:rsid w:val="66F708DB"/>
    <w:rsid w:val="67304822"/>
    <w:rsid w:val="67D79986"/>
    <w:rsid w:val="67DB6DDE"/>
    <w:rsid w:val="67F3C033"/>
    <w:rsid w:val="67F93B76"/>
    <w:rsid w:val="67FF36E4"/>
    <w:rsid w:val="691C0095"/>
    <w:rsid w:val="6ABADFF7"/>
    <w:rsid w:val="6AEDCF76"/>
    <w:rsid w:val="6B336FA0"/>
    <w:rsid w:val="6BFE8DCC"/>
    <w:rsid w:val="6C614698"/>
    <w:rsid w:val="6C9736C2"/>
    <w:rsid w:val="6CDB0852"/>
    <w:rsid w:val="6D5B4B5B"/>
    <w:rsid w:val="6DF7A16E"/>
    <w:rsid w:val="6DFA0CF8"/>
    <w:rsid w:val="6E140BC9"/>
    <w:rsid w:val="6EB39AA5"/>
    <w:rsid w:val="6EDBDF11"/>
    <w:rsid w:val="6EF92BD3"/>
    <w:rsid w:val="6EFBA484"/>
    <w:rsid w:val="6F5F87C7"/>
    <w:rsid w:val="6F7F3948"/>
    <w:rsid w:val="6F7FE470"/>
    <w:rsid w:val="6F996372"/>
    <w:rsid w:val="6FA736D3"/>
    <w:rsid w:val="6FB233C2"/>
    <w:rsid w:val="6FBFF3D1"/>
    <w:rsid w:val="6FDF2166"/>
    <w:rsid w:val="6FE763F2"/>
    <w:rsid w:val="6FF99B0D"/>
    <w:rsid w:val="6FFBA2A5"/>
    <w:rsid w:val="6FFDEC00"/>
    <w:rsid w:val="6FFF89C6"/>
    <w:rsid w:val="71FE804E"/>
    <w:rsid w:val="727F2E6B"/>
    <w:rsid w:val="73703774"/>
    <w:rsid w:val="73FB4287"/>
    <w:rsid w:val="73FD8EA3"/>
    <w:rsid w:val="74FF8EB9"/>
    <w:rsid w:val="756885CE"/>
    <w:rsid w:val="75798A79"/>
    <w:rsid w:val="767FBC54"/>
    <w:rsid w:val="76F7CD9F"/>
    <w:rsid w:val="775F2D61"/>
    <w:rsid w:val="77BE1A16"/>
    <w:rsid w:val="77E298CB"/>
    <w:rsid w:val="77F7ED85"/>
    <w:rsid w:val="77FDC6C6"/>
    <w:rsid w:val="77FF41E3"/>
    <w:rsid w:val="77FF5A90"/>
    <w:rsid w:val="79B21A11"/>
    <w:rsid w:val="79CF04BB"/>
    <w:rsid w:val="79FA4685"/>
    <w:rsid w:val="79FF0F9A"/>
    <w:rsid w:val="7A4D810A"/>
    <w:rsid w:val="7A7BBB6F"/>
    <w:rsid w:val="7AAAFB90"/>
    <w:rsid w:val="7ACDF9CE"/>
    <w:rsid w:val="7ADD94D6"/>
    <w:rsid w:val="7AF79ACC"/>
    <w:rsid w:val="7AFF2982"/>
    <w:rsid w:val="7B6D1B4B"/>
    <w:rsid w:val="7B79DD44"/>
    <w:rsid w:val="7BB0945F"/>
    <w:rsid w:val="7BB3E803"/>
    <w:rsid w:val="7BBACCD2"/>
    <w:rsid w:val="7BFA47C4"/>
    <w:rsid w:val="7BFD3711"/>
    <w:rsid w:val="7BFEDBD7"/>
    <w:rsid w:val="7C3C7C24"/>
    <w:rsid w:val="7CF70B40"/>
    <w:rsid w:val="7D497E06"/>
    <w:rsid w:val="7DAFADA6"/>
    <w:rsid w:val="7DB57798"/>
    <w:rsid w:val="7DB6EE71"/>
    <w:rsid w:val="7DBB3165"/>
    <w:rsid w:val="7DCECB58"/>
    <w:rsid w:val="7DEF9069"/>
    <w:rsid w:val="7DF6C32A"/>
    <w:rsid w:val="7DF925CB"/>
    <w:rsid w:val="7DFB4C78"/>
    <w:rsid w:val="7DFF39B5"/>
    <w:rsid w:val="7E3D849E"/>
    <w:rsid w:val="7E3F9FC2"/>
    <w:rsid w:val="7E779F41"/>
    <w:rsid w:val="7EA95CC4"/>
    <w:rsid w:val="7EDFAA09"/>
    <w:rsid w:val="7EF9F966"/>
    <w:rsid w:val="7EFF7AE4"/>
    <w:rsid w:val="7EFFD9C6"/>
    <w:rsid w:val="7F5B7EDD"/>
    <w:rsid w:val="7F5F9A50"/>
    <w:rsid w:val="7F5FAE69"/>
    <w:rsid w:val="7F6F0066"/>
    <w:rsid w:val="7F73A69B"/>
    <w:rsid w:val="7F7ED7B4"/>
    <w:rsid w:val="7F8F93C4"/>
    <w:rsid w:val="7F9E5C17"/>
    <w:rsid w:val="7F9EBFF3"/>
    <w:rsid w:val="7FB5F9D1"/>
    <w:rsid w:val="7FB78791"/>
    <w:rsid w:val="7FB79349"/>
    <w:rsid w:val="7FBFDFEE"/>
    <w:rsid w:val="7FCF04EC"/>
    <w:rsid w:val="7FD2EF8E"/>
    <w:rsid w:val="7FD59C15"/>
    <w:rsid w:val="7FDC972E"/>
    <w:rsid w:val="7FF7C4E9"/>
    <w:rsid w:val="7FFA4FC2"/>
    <w:rsid w:val="7FFB0AC2"/>
    <w:rsid w:val="7FFB4C6A"/>
    <w:rsid w:val="7FFDB396"/>
    <w:rsid w:val="7FFEDB27"/>
    <w:rsid w:val="7FFF0AD9"/>
    <w:rsid w:val="7FFF0D14"/>
    <w:rsid w:val="7FFF8476"/>
    <w:rsid w:val="97ED6139"/>
    <w:rsid w:val="9BDF2DEA"/>
    <w:rsid w:val="9BFC2B6C"/>
    <w:rsid w:val="9D174944"/>
    <w:rsid w:val="9DFF8499"/>
    <w:rsid w:val="9F3B5C8B"/>
    <w:rsid w:val="9FCD6BC0"/>
    <w:rsid w:val="9FEBA1ED"/>
    <w:rsid w:val="A3366E9F"/>
    <w:rsid w:val="A5FD03A5"/>
    <w:rsid w:val="A77E6FEC"/>
    <w:rsid w:val="A77F21B9"/>
    <w:rsid w:val="ABDF8429"/>
    <w:rsid w:val="ABF3156A"/>
    <w:rsid w:val="ADAEBA8B"/>
    <w:rsid w:val="AFAF63FE"/>
    <w:rsid w:val="AFBBCA62"/>
    <w:rsid w:val="AFE75AB4"/>
    <w:rsid w:val="B2DE1CE0"/>
    <w:rsid w:val="B2FF42D5"/>
    <w:rsid w:val="B63DB8DE"/>
    <w:rsid w:val="B772C693"/>
    <w:rsid w:val="B7F2AFD0"/>
    <w:rsid w:val="B7F71687"/>
    <w:rsid w:val="B8FFC6BE"/>
    <w:rsid w:val="B9A9FE68"/>
    <w:rsid w:val="BAD75114"/>
    <w:rsid w:val="BAFD22BC"/>
    <w:rsid w:val="BB6DCE07"/>
    <w:rsid w:val="BBB79EA3"/>
    <w:rsid w:val="BBD51D87"/>
    <w:rsid w:val="BBFE3497"/>
    <w:rsid w:val="BCD91BD3"/>
    <w:rsid w:val="BCEFFB11"/>
    <w:rsid w:val="BCFFE9D8"/>
    <w:rsid w:val="BDBF2764"/>
    <w:rsid w:val="BDFF4689"/>
    <w:rsid w:val="BE7E7FC4"/>
    <w:rsid w:val="BE7FC1EF"/>
    <w:rsid w:val="BEA1B787"/>
    <w:rsid w:val="BEDF213D"/>
    <w:rsid w:val="BEFB4A7B"/>
    <w:rsid w:val="BF774F3B"/>
    <w:rsid w:val="BF7A1D49"/>
    <w:rsid w:val="BF82259A"/>
    <w:rsid w:val="BFBD72EE"/>
    <w:rsid w:val="BFBE1D8D"/>
    <w:rsid w:val="BFD6CF72"/>
    <w:rsid w:val="BFD71EC5"/>
    <w:rsid w:val="BFDBCF62"/>
    <w:rsid w:val="BFDEF13D"/>
    <w:rsid w:val="BFE43119"/>
    <w:rsid w:val="BFEF0F46"/>
    <w:rsid w:val="BFFB0715"/>
    <w:rsid w:val="BFFED194"/>
    <w:rsid w:val="C38B68EC"/>
    <w:rsid w:val="C77FFEC0"/>
    <w:rsid w:val="C8FFAA99"/>
    <w:rsid w:val="CB8D29C6"/>
    <w:rsid w:val="CBBFBD5A"/>
    <w:rsid w:val="CCFF1C48"/>
    <w:rsid w:val="CEDB1767"/>
    <w:rsid w:val="CFEF296D"/>
    <w:rsid w:val="CFFF055A"/>
    <w:rsid w:val="CFFF07F9"/>
    <w:rsid w:val="D1561DD8"/>
    <w:rsid w:val="D5F2106A"/>
    <w:rsid w:val="D6F9B506"/>
    <w:rsid w:val="D6FF91DB"/>
    <w:rsid w:val="D7FBB2AA"/>
    <w:rsid w:val="D7FD09C8"/>
    <w:rsid w:val="D7FF2149"/>
    <w:rsid w:val="D86F8183"/>
    <w:rsid w:val="DAF9D101"/>
    <w:rsid w:val="DAFB0518"/>
    <w:rsid w:val="DB1F81F8"/>
    <w:rsid w:val="DBE1D239"/>
    <w:rsid w:val="DDEDACC6"/>
    <w:rsid w:val="DEF7BF64"/>
    <w:rsid w:val="DEF99D18"/>
    <w:rsid w:val="DF1759E4"/>
    <w:rsid w:val="DF296241"/>
    <w:rsid w:val="DF7F4349"/>
    <w:rsid w:val="DF7FC9D6"/>
    <w:rsid w:val="DFD70089"/>
    <w:rsid w:val="DFDEA05F"/>
    <w:rsid w:val="DFE62105"/>
    <w:rsid w:val="DFFEE651"/>
    <w:rsid w:val="E5FF8D71"/>
    <w:rsid w:val="E7D66624"/>
    <w:rsid w:val="E7DFF680"/>
    <w:rsid w:val="E7FD5267"/>
    <w:rsid w:val="E7FE2095"/>
    <w:rsid w:val="EBDF017D"/>
    <w:rsid w:val="EE7F3AE6"/>
    <w:rsid w:val="EEFF00A3"/>
    <w:rsid w:val="EF173EEA"/>
    <w:rsid w:val="EF77C63D"/>
    <w:rsid w:val="EF7D19E3"/>
    <w:rsid w:val="EFBDAF4C"/>
    <w:rsid w:val="EFBFB38D"/>
    <w:rsid w:val="EFCE1C9F"/>
    <w:rsid w:val="EFCFAC96"/>
    <w:rsid w:val="EFD6EDB1"/>
    <w:rsid w:val="EFDEF1C9"/>
    <w:rsid w:val="EFF5DA29"/>
    <w:rsid w:val="EFF658BD"/>
    <w:rsid w:val="EFFAB94E"/>
    <w:rsid w:val="EFFD3FAA"/>
    <w:rsid w:val="EFFF1ED0"/>
    <w:rsid w:val="F1AB0097"/>
    <w:rsid w:val="F1FFFB1A"/>
    <w:rsid w:val="F25F8786"/>
    <w:rsid w:val="F2ED6590"/>
    <w:rsid w:val="F3FBE122"/>
    <w:rsid w:val="F3FF8758"/>
    <w:rsid w:val="F3FF8BA2"/>
    <w:rsid w:val="F3FF9983"/>
    <w:rsid w:val="F4EFFB0F"/>
    <w:rsid w:val="F5E662D0"/>
    <w:rsid w:val="F66DA08A"/>
    <w:rsid w:val="F6BF21B5"/>
    <w:rsid w:val="F6D71096"/>
    <w:rsid w:val="F6F53DD7"/>
    <w:rsid w:val="F6F739B3"/>
    <w:rsid w:val="F72AC5AB"/>
    <w:rsid w:val="F7791418"/>
    <w:rsid w:val="F7D21A6B"/>
    <w:rsid w:val="F7E64FD1"/>
    <w:rsid w:val="F7EE4A71"/>
    <w:rsid w:val="F7F83DE2"/>
    <w:rsid w:val="F7FC6595"/>
    <w:rsid w:val="F7FD09D3"/>
    <w:rsid w:val="F7FF7ED1"/>
    <w:rsid w:val="F7FFB089"/>
    <w:rsid w:val="F98FC63F"/>
    <w:rsid w:val="F9F50AAD"/>
    <w:rsid w:val="FA7F2390"/>
    <w:rsid w:val="FADE713A"/>
    <w:rsid w:val="FADECB71"/>
    <w:rsid w:val="FAEFF553"/>
    <w:rsid w:val="FAF72171"/>
    <w:rsid w:val="FB074BA1"/>
    <w:rsid w:val="FB7D3BC7"/>
    <w:rsid w:val="FB9F4180"/>
    <w:rsid w:val="FBE990F3"/>
    <w:rsid w:val="FBF89C56"/>
    <w:rsid w:val="FBFBD1FC"/>
    <w:rsid w:val="FBFF4F44"/>
    <w:rsid w:val="FBFFAB9F"/>
    <w:rsid w:val="FC7E3458"/>
    <w:rsid w:val="FCFB5046"/>
    <w:rsid w:val="FCFDFD57"/>
    <w:rsid w:val="FCFF35AC"/>
    <w:rsid w:val="FD3F2416"/>
    <w:rsid w:val="FD4558C4"/>
    <w:rsid w:val="FD571AB1"/>
    <w:rsid w:val="FD7F8AE5"/>
    <w:rsid w:val="FD9BC191"/>
    <w:rsid w:val="FDAF12A3"/>
    <w:rsid w:val="FDBBF0D2"/>
    <w:rsid w:val="FDEDFBE2"/>
    <w:rsid w:val="FDFEA2A8"/>
    <w:rsid w:val="FE5E9EB5"/>
    <w:rsid w:val="FE7F2C98"/>
    <w:rsid w:val="FE7F894B"/>
    <w:rsid w:val="FEAE4287"/>
    <w:rsid w:val="FEBF2E28"/>
    <w:rsid w:val="FEBF971A"/>
    <w:rsid w:val="FEE931BB"/>
    <w:rsid w:val="FEEBA154"/>
    <w:rsid w:val="FEF753F6"/>
    <w:rsid w:val="FEFA29AE"/>
    <w:rsid w:val="FEFF0DD3"/>
    <w:rsid w:val="FEFF168D"/>
    <w:rsid w:val="FF4F6E87"/>
    <w:rsid w:val="FF5F9C69"/>
    <w:rsid w:val="FF6B4641"/>
    <w:rsid w:val="FF6F1C60"/>
    <w:rsid w:val="FF795744"/>
    <w:rsid w:val="FF7DC74A"/>
    <w:rsid w:val="FF7E5767"/>
    <w:rsid w:val="FF7F6946"/>
    <w:rsid w:val="FF7F9155"/>
    <w:rsid w:val="FF7FCDC5"/>
    <w:rsid w:val="FF8D3CB6"/>
    <w:rsid w:val="FF8F5BBD"/>
    <w:rsid w:val="FF8F7A6E"/>
    <w:rsid w:val="FF9A5CFB"/>
    <w:rsid w:val="FF9D03CE"/>
    <w:rsid w:val="FFAB5161"/>
    <w:rsid w:val="FFACA89E"/>
    <w:rsid w:val="FFBFEA9E"/>
    <w:rsid w:val="FFC72B84"/>
    <w:rsid w:val="FFDF69CA"/>
    <w:rsid w:val="FFDFEA86"/>
    <w:rsid w:val="FFEB1D27"/>
    <w:rsid w:val="FFEBC782"/>
    <w:rsid w:val="FFEBDF87"/>
    <w:rsid w:val="FFEF1C0D"/>
    <w:rsid w:val="FFEFBD1B"/>
    <w:rsid w:val="FFF3D7D0"/>
    <w:rsid w:val="FFFA124D"/>
    <w:rsid w:val="FFFEB340"/>
    <w:rsid w:val="FFFF0782"/>
    <w:rsid w:val="FFFF3297"/>
    <w:rsid w:val="FFFFB4EB"/>
    <w:rsid w:val="FFFFD855"/>
    <w:rsid w:val="FFFFDE2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heme="minorBidi"/>
      <w:kern w:val="2"/>
      <w:sz w:val="32"/>
      <w:szCs w:val="32"/>
      <w:lang w:val="en-US" w:eastAsia="zh-CN" w:bidi="ar-SA"/>
    </w:rPr>
  </w:style>
  <w:style w:type="paragraph" w:styleId="2">
    <w:name w:val="heading 2"/>
    <w:next w:val="1"/>
    <w:unhideWhenUsed/>
    <w:qFormat/>
    <w:uiPriority w:val="9"/>
    <w:pPr>
      <w:widowControl w:val="0"/>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alloon Text"/>
    <w:basedOn w:val="1"/>
    <w:link w:val="10"/>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10">
    <w:name w:val="批注框文本 字符"/>
    <w:basedOn w:val="9"/>
    <w:link w:val="3"/>
    <w:qFormat/>
    <w:uiPriority w:val="0"/>
    <w:rPr>
      <w:rFonts w:eastAsia="方正仿宋_GBK"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NUL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省医保局</Company>
  <Pages>49</Pages>
  <Words>1834</Words>
  <Characters>1916</Characters>
  <Lines>7</Lines>
  <Paragraphs>2</Paragraphs>
  <TotalTime>7</TotalTime>
  <ScaleCrop>false</ScaleCrop>
  <LinksUpToDate>false</LinksUpToDate>
  <CharactersWithSpaces>1964</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2025-08-21T11:11:00Z</dcterms:created>
  <dc:creator>张宏</dc:creator>
  <cp:lastModifiedBy>kylin</cp:lastModifiedBy>
  <cp:lastPrinted>2025-08-21T11:04:00Z</cp:lastPrinted>
  <dcterms:modified xsi:type="dcterms:W3CDTF">2025-12-04T08:31:18Z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AA3B4D107EDD4D5E95142E3FA72582E8_13</vt:lpwstr>
  </property>
  <property fmtid="{D5CDD505-2E9C-101B-9397-08002B2CF9AE}" pid="4" name="KSOTemplateDocerSaveRecord">
    <vt:lpwstr>eyJoZGlkIjoiNDgwMDJlOTc0NGJiOWM0OTRhNGZhMzBjMmQ4ODM5YTIifQ==</vt:lpwstr>
  </property>
</Properties>
</file>