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28"/>
          <w:szCs w:val="28"/>
        </w:rPr>
      </w:pPr>
    </w:p>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小标宋_GBK" w:cs="Times New Roman"/>
          <w:sz w:val="44"/>
          <w:szCs w:val="44"/>
        </w:rPr>
      </w:pPr>
    </w:p>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关于调整完善基本医疗</w:t>
      </w:r>
      <w:bookmarkStart w:id="4" w:name="_GoBack"/>
      <w:bookmarkEnd w:id="4"/>
      <w:r>
        <w:rPr>
          <w:rFonts w:hint="default" w:ascii="Times New Roman" w:hAnsi="Times New Roman" w:eastAsia="方正小标宋_GBK" w:cs="Times New Roman"/>
          <w:sz w:val="44"/>
          <w:szCs w:val="44"/>
        </w:rPr>
        <w:t>保险门诊慢特病保障政策的通知</w:t>
      </w:r>
    </w:p>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池医保</w:t>
      </w:r>
      <w:r>
        <w:rPr>
          <w:rFonts w:hint="default" w:ascii="Times New Roman" w:hAnsi="Times New Roman" w:eastAsia="方正仿宋_GBK" w:cs="Times New Roman"/>
          <w:sz w:val="32"/>
          <w:szCs w:val="32"/>
          <w:lang w:eastAsia="zh-CN"/>
        </w:rPr>
        <w:t>秘</w:t>
      </w:r>
      <w:r>
        <w:rPr>
          <w:rFonts w:hint="default" w:ascii="Times New Roman" w:hAnsi="Times New Roman" w:eastAsia="方正仿宋_GBK" w:cs="Times New Roman"/>
          <w:sz w:val="32"/>
          <w:szCs w:val="32"/>
        </w:rPr>
        <w:t>〔202</w:t>
      </w:r>
      <w:r>
        <w:rPr>
          <w:rFonts w:hint="default" w:ascii="Times New Roman" w:hAnsi="Times New Roman" w:eastAsia="方正仿宋_GBK" w:cs="Times New Roman"/>
          <w:sz w:val="32"/>
          <w:szCs w:val="32"/>
          <w:lang w:val="en-US" w:eastAsia="zh-CN"/>
        </w:rPr>
        <w:t>4</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49</w:t>
      </w:r>
      <w:r>
        <w:rPr>
          <w:rFonts w:hint="default" w:ascii="Times New Roman" w:hAnsi="Times New Roman" w:eastAsia="方正仿宋_GBK" w:cs="Times New Roman"/>
          <w:sz w:val="32"/>
          <w:szCs w:val="32"/>
        </w:rPr>
        <w:t>号</w:t>
      </w:r>
    </w:p>
    <w:p>
      <w:pPr>
        <w:pStyle w:val="2"/>
        <w:keepNext w:val="0"/>
        <w:keepLines w:val="0"/>
        <w:pageBreakBefore w:val="0"/>
        <w:numPr>
          <w:ilvl w:val="1"/>
          <w:numId w:val="0"/>
        </w:numPr>
        <w:kinsoku/>
        <w:overflowPunct/>
        <w:topLinePunct w:val="0"/>
        <w:autoSpaceDE/>
        <w:autoSpaceDN/>
        <w:bidi w:val="0"/>
        <w:adjustRightInd/>
        <w:spacing w:line="590" w:lineRule="exact"/>
        <w:ind w:left="431" w:leftChars="0"/>
        <w:rPr>
          <w:rFonts w:hint="default" w:ascii="Times New Roman" w:hAnsi="Times New Roman" w:cs="Times New Roman"/>
        </w:rPr>
      </w:pPr>
    </w:p>
    <w:p>
      <w:pPr>
        <w:keepNext w:val="0"/>
        <w:keepLines w:val="0"/>
        <w:pageBreakBefore w:val="0"/>
        <w:kinsoku/>
        <w:overflowPunct/>
        <w:topLinePunct w:val="0"/>
        <w:autoSpaceDE/>
        <w:autoSpaceDN/>
        <w:bidi w:val="0"/>
        <w:adjustRightInd/>
        <w:spacing w:line="590" w:lineRule="exact"/>
        <w:jc w:val="left"/>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各县（区）医疗保障局、财政局，九华山风景区社会保障局、财政处、发展规划处，局属机构，市属公立医疗机构：</w:t>
      </w:r>
    </w:p>
    <w:p>
      <w:pPr>
        <w:keepNext w:val="0"/>
        <w:keepLines w:val="0"/>
        <w:pageBreakBefore w:val="0"/>
        <w:kinsoku/>
        <w:overflowPunct/>
        <w:topLinePunct w:val="0"/>
        <w:autoSpaceDE/>
        <w:autoSpaceDN/>
        <w:bidi w:val="0"/>
        <w:adjustRightInd/>
        <w:spacing w:line="590" w:lineRule="exact"/>
        <w:ind w:firstLine="640" w:firstLineChars="200"/>
        <w:jc w:val="left"/>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为进一步减轻参保人员门诊医疗费用负担，提高基本医疗保险基金使用效率，维护参保群众医疗保障权益，现就进一步做好基本医疗保险门诊慢特病管理服务工作通知如下：</w:t>
      </w:r>
    </w:p>
    <w:p>
      <w:pPr>
        <w:keepNext w:val="0"/>
        <w:keepLines w:val="0"/>
        <w:pageBreakBefore w:val="0"/>
        <w:kinsoku/>
        <w:overflowPunct/>
        <w:topLinePunct w:val="0"/>
        <w:autoSpaceDE/>
        <w:autoSpaceDN/>
        <w:bidi w:val="0"/>
        <w:adjustRightInd/>
        <w:spacing w:line="590" w:lineRule="exact"/>
        <w:ind w:firstLine="640" w:firstLineChars="200"/>
        <w:jc w:val="left"/>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一、扩大病种保障范围。</w:t>
      </w:r>
      <w:r>
        <w:rPr>
          <w:rFonts w:hint="default" w:ascii="Times New Roman" w:hAnsi="Times New Roman" w:eastAsia="方正仿宋_GBK" w:cs="Times New Roman"/>
          <w:sz w:val="32"/>
          <w:szCs w:val="32"/>
        </w:rPr>
        <w:t>为保障参保患者长期门诊治疗需求，决定</w:t>
      </w:r>
      <w:bookmarkStart w:id="0" w:name="_Hlk177548194"/>
      <w:r>
        <w:rPr>
          <w:rFonts w:hint="default" w:ascii="Times New Roman" w:hAnsi="Times New Roman" w:eastAsia="方正仿宋_GBK" w:cs="Times New Roman"/>
          <w:sz w:val="32"/>
          <w:szCs w:val="32"/>
        </w:rPr>
        <w:t>将戈谢病、结节性硬化症、低磷性佝偻病等9种疾病新增纳入我市基本医保门诊慢特病病种保障范围，</w:t>
      </w:r>
      <w:bookmarkEnd w:id="0"/>
      <w:r>
        <w:rPr>
          <w:rFonts w:hint="default" w:ascii="Times New Roman" w:hAnsi="Times New Roman" w:eastAsia="方正仿宋_GBK" w:cs="Times New Roman"/>
          <w:sz w:val="32"/>
          <w:szCs w:val="32"/>
        </w:rPr>
        <w:t>执行统一的病种编码、认定标准和医保基金年度最高支付限额。</w:t>
      </w:r>
    </w:p>
    <w:p>
      <w:pPr>
        <w:keepNext w:val="0"/>
        <w:keepLines w:val="0"/>
        <w:pageBreakBefore w:val="0"/>
        <w:kinsoku/>
        <w:overflowPunct/>
        <w:topLinePunct w:val="0"/>
        <w:autoSpaceDE/>
        <w:autoSpaceDN/>
        <w:bidi w:val="0"/>
        <w:adjustRightInd/>
        <w:spacing w:line="590" w:lineRule="exact"/>
        <w:ind w:firstLine="640" w:firstLineChars="200"/>
        <w:jc w:val="left"/>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二、优化病种认定标准。</w:t>
      </w:r>
      <w:r>
        <w:rPr>
          <w:rFonts w:hint="default" w:ascii="Times New Roman" w:hAnsi="Times New Roman" w:eastAsia="方正仿宋_GBK" w:cs="Times New Roman"/>
          <w:sz w:val="32"/>
          <w:szCs w:val="32"/>
        </w:rPr>
        <w:t>为方便参保群众申请及临床专家鉴定，根据专家咨询论证意见，进一步优化简化高血压、糖尿病、慢性肾脏病、肾病综合征、恶性肿瘤等5种疾病的认定标准。</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三、调整部分病种编码。</w:t>
      </w:r>
      <w:r>
        <w:rPr>
          <w:rFonts w:hint="default" w:ascii="Times New Roman" w:hAnsi="Times New Roman" w:eastAsia="方正仿宋_GBK" w:cs="Times New Roman"/>
          <w:sz w:val="32"/>
          <w:szCs w:val="32"/>
        </w:rPr>
        <w:t>按照国家医保局门诊慢特病跨省直接结算工作要求，调整高血压、糖尿病、恶性肿瘤病种编码，取消高血压分型病种高血压拌并发症、糖尿病分型病种糖尿病胰岛素治疗，恶性肿瘤分型病种（门诊治疗、放化疗、靶向治疗）合并为恶性肿瘤，统一启用国家编码，保障试点病种顺畅实现跨省联网直接结算。做好高血压、糖尿病、恶性肿瘤编码并转工作，根据国家医保局门诊慢特病跨省直接结算病种范围，动态调整病种编码，统一按照国家编码执行。</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四、调整部分病种年度支付限额。</w:t>
      </w:r>
      <w:r>
        <w:rPr>
          <w:rFonts w:hint="default" w:ascii="Times New Roman" w:hAnsi="Times New Roman" w:eastAsia="方正仿宋_GBK" w:cs="Times New Roman"/>
          <w:sz w:val="32"/>
          <w:szCs w:val="32"/>
        </w:rPr>
        <w:t>为充分保障参保人员门诊慢特病待遇享受，减轻门诊慢特病医疗费用负担,经研究，调整我市强直性脊柱炎、肺动脉高压、特发性肺纤维化和系统性红斑狼疮年度支付限额。按照病种编码统一要求，调整高血压、糖尿病、恶性肿瘤病种年度支付限额，待遇享受（复审）期限调整为长期，以上病种调整后年度支付限额见附件。</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黑体_GBK" w:cs="Times New Roman"/>
          <w:sz w:val="32"/>
          <w:szCs w:val="32"/>
        </w:rPr>
        <w:t>五、做好经办服务工作。</w:t>
      </w:r>
      <w:r>
        <w:rPr>
          <w:rFonts w:hint="default" w:ascii="Times New Roman" w:hAnsi="Times New Roman" w:eastAsia="方正仿宋_GBK" w:cs="Times New Roman"/>
          <w:sz w:val="32"/>
          <w:szCs w:val="32"/>
        </w:rPr>
        <w:t>持续优化完善门诊慢特病申请认定“线上办理”便民成效，逐步扩大门诊慢特病医保待遇“即申即享”病种范围，参保人员省内跨统筹地区流动时，实行门诊慢特病待遇资格互认。加强门诊慢特病政策的宣传培训，指导医保经办机构、定点医疗机构规范落实各项政策措施，为参保群众提供更加便捷高效的医保经办服务。</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本通知自2024年10月1日起执行。各地在执行过程中遇有重大问题，及时向市医疗保障局报告。</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附件：1．新增病种及年度报销限额</w:t>
      </w:r>
    </w:p>
    <w:p>
      <w:pPr>
        <w:keepNext w:val="0"/>
        <w:keepLines w:val="0"/>
        <w:pageBreakBefore w:val="0"/>
        <w:kinsoku/>
        <w:overflowPunct/>
        <w:topLinePunct w:val="0"/>
        <w:autoSpaceDE/>
        <w:autoSpaceDN/>
        <w:bidi w:val="0"/>
        <w:adjustRightInd/>
        <w:spacing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2．部分病种调整年度报销限额</w:t>
      </w:r>
    </w:p>
    <w:p>
      <w:pPr>
        <w:keepNext w:val="0"/>
        <w:keepLines w:val="0"/>
        <w:pageBreakBefore w:val="0"/>
        <w:kinsoku/>
        <w:overflowPunct/>
        <w:topLinePunct w:val="0"/>
        <w:autoSpaceDE/>
        <w:autoSpaceDN/>
        <w:bidi w:val="0"/>
        <w:adjustRightInd/>
        <w:spacing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 新增病种认定标准</w:t>
      </w:r>
    </w:p>
    <w:p>
      <w:pPr>
        <w:pStyle w:val="3"/>
        <w:keepNext w:val="0"/>
        <w:keepLines w:val="0"/>
        <w:pageBreakBefore w:val="0"/>
        <w:kinsoku/>
        <w:overflowPunct/>
        <w:topLinePunct w:val="0"/>
        <w:autoSpaceDE/>
        <w:autoSpaceDN/>
        <w:bidi w:val="0"/>
        <w:adjustRightInd/>
        <w:snapToGrid/>
        <w:spacing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4．高血压、糖尿病、恶性肿瘤病种编码</w:t>
      </w:r>
    </w:p>
    <w:p>
      <w:pPr>
        <w:pStyle w:val="3"/>
        <w:keepNext w:val="0"/>
        <w:keepLines w:val="0"/>
        <w:pageBreakBefore w:val="0"/>
        <w:kinsoku/>
        <w:overflowPunct/>
        <w:topLinePunct w:val="0"/>
        <w:autoSpaceDE/>
        <w:autoSpaceDN/>
        <w:bidi w:val="0"/>
        <w:adjustRightInd/>
        <w:snapToGrid/>
        <w:spacing w:line="590" w:lineRule="exact"/>
        <w:ind w:firstLine="1600" w:firstLineChars="5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5．新修订部分病种认定标准</w:t>
      </w:r>
    </w:p>
    <w:p>
      <w:pPr>
        <w:keepNext w:val="0"/>
        <w:keepLines w:val="0"/>
        <w:pageBreakBefore w:val="0"/>
        <w:kinsoku/>
        <w:wordWrap w:val="0"/>
        <w:overflowPunct/>
        <w:topLinePunct w:val="0"/>
        <w:autoSpaceDE/>
        <w:autoSpaceDN/>
        <w:bidi w:val="0"/>
        <w:adjustRightInd/>
        <w:spacing w:line="590" w:lineRule="exact"/>
        <w:ind w:firstLine="640" w:firstLineChars="200"/>
        <w:jc w:val="right"/>
        <w:rPr>
          <w:rFonts w:hint="default" w:ascii="Times New Roman" w:hAnsi="Times New Roman" w:eastAsia="方正仿宋_GBK" w:cs="Times New Roman"/>
          <w:sz w:val="32"/>
          <w:szCs w:val="32"/>
        </w:rPr>
      </w:pPr>
    </w:p>
    <w:p>
      <w:pPr>
        <w:keepNext w:val="0"/>
        <w:keepLines w:val="0"/>
        <w:pageBreakBefore w:val="0"/>
        <w:kinsoku/>
        <w:wordWrap w:val="0"/>
        <w:overflowPunct/>
        <w:topLinePunct w:val="0"/>
        <w:autoSpaceDE/>
        <w:autoSpaceDN/>
        <w:bidi w:val="0"/>
        <w:adjustRightInd/>
        <w:spacing w:line="590" w:lineRule="exact"/>
        <w:ind w:firstLine="640" w:firstLineChars="200"/>
        <w:jc w:val="right"/>
        <w:rPr>
          <w:rFonts w:hint="default" w:ascii="Times New Roman" w:hAnsi="Times New Roman" w:eastAsia="方正仿宋_GBK" w:cs="Times New Roman"/>
          <w:sz w:val="32"/>
          <w:szCs w:val="32"/>
        </w:rPr>
      </w:pPr>
    </w:p>
    <w:p>
      <w:pPr>
        <w:keepNext w:val="0"/>
        <w:keepLines w:val="0"/>
        <w:pageBreakBefore w:val="0"/>
        <w:kinsoku/>
        <w:wordWrap w:val="0"/>
        <w:overflowPunct/>
        <w:topLinePunct w:val="0"/>
        <w:autoSpaceDE/>
        <w:autoSpaceDN/>
        <w:bidi w:val="0"/>
        <w:adjustRightInd/>
        <w:spacing w:line="590" w:lineRule="exact"/>
        <w:ind w:firstLine="640" w:firstLineChars="200"/>
        <w:jc w:val="right"/>
        <w:rPr>
          <w:rFonts w:hint="default" w:ascii="Times New Roman" w:hAnsi="Times New Roman" w:eastAsia="方正仿宋_GBK" w:cs="Times New Roman"/>
          <w:sz w:val="32"/>
          <w:szCs w:val="32"/>
        </w:rPr>
      </w:pPr>
    </w:p>
    <w:p>
      <w:pPr>
        <w:keepNext w:val="0"/>
        <w:keepLines w:val="0"/>
        <w:pageBreakBefore w:val="0"/>
        <w:kinsoku/>
        <w:wordWrap w:val="0"/>
        <w:overflowPunct/>
        <w:topLinePunct w:val="0"/>
        <w:autoSpaceDE/>
        <w:autoSpaceDN/>
        <w:bidi w:val="0"/>
        <w:adjustRightInd/>
        <w:spacing w:line="590" w:lineRule="exact"/>
        <w:ind w:firstLine="3200" w:firstLineChars="1000"/>
        <w:jc w:val="both"/>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池州市医疗保障局</w:t>
      </w:r>
      <w:r>
        <w:rPr>
          <w:rFonts w:hint="default" w:ascii="Times New Roman" w:hAnsi="Times New Roman" w:eastAsia="方正仿宋_GBK" w:cs="Times New Roman"/>
          <w:sz w:val="32"/>
          <w:szCs w:val="32"/>
          <w:lang w:val="en-US" w:eastAsia="zh-CN"/>
        </w:rPr>
        <w:t xml:space="preserve">    池州市财政局</w:t>
      </w:r>
    </w:p>
    <w:p>
      <w:pPr>
        <w:keepNext w:val="0"/>
        <w:keepLines w:val="0"/>
        <w:pageBreakBefore w:val="0"/>
        <w:kinsoku/>
        <w:overflowPunct/>
        <w:topLinePunct w:val="0"/>
        <w:autoSpaceDE/>
        <w:autoSpaceDN/>
        <w:bidi w:val="0"/>
        <w:adjustRightInd/>
        <w:spacing w:line="590" w:lineRule="exact"/>
        <w:ind w:firstLine="640" w:firstLineChars="20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2024</w:t>
      </w:r>
      <w:r>
        <w:rPr>
          <w:rFonts w:hint="default" w:ascii="Times New Roman" w:hAnsi="Times New Roman" w:eastAsia="方正仿宋_GBK" w:cs="Times New Roman"/>
          <w:sz w:val="32"/>
          <w:szCs w:val="32"/>
        </w:rPr>
        <w:t>年</w:t>
      </w:r>
      <w:r>
        <w:rPr>
          <w:rFonts w:hint="default" w:ascii="Times New Roman" w:hAnsi="Times New Roman" w:eastAsia="方正仿宋_GBK" w:cs="Times New Roman"/>
          <w:sz w:val="32"/>
          <w:szCs w:val="32"/>
        </w:rPr>
        <w:t>9</w:t>
      </w:r>
      <w:r>
        <w:rPr>
          <w:rFonts w:hint="default" w:ascii="Times New Roman" w:hAnsi="Times New Roman" w:eastAsia="方正仿宋_GBK" w:cs="Times New Roman"/>
          <w:sz w:val="32"/>
          <w:szCs w:val="32"/>
        </w:rPr>
        <w:t>月</w:t>
      </w:r>
      <w:r>
        <w:rPr>
          <w:rFonts w:hint="default" w:ascii="Times New Roman" w:hAnsi="Times New Roman" w:eastAsia="方正仿宋_GBK" w:cs="Times New Roman"/>
          <w:sz w:val="32"/>
          <w:szCs w:val="32"/>
          <w:lang w:val="en-US" w:eastAsia="zh-CN"/>
        </w:rPr>
        <w:t>20</w:t>
      </w:r>
      <w:r>
        <w:rPr>
          <w:rFonts w:hint="default" w:ascii="Times New Roman" w:hAnsi="Times New Roman" w:eastAsia="方正仿宋_GBK" w:cs="Times New Roman"/>
          <w:sz w:val="32"/>
          <w:szCs w:val="32"/>
        </w:rPr>
        <w:t>日</w:t>
      </w:r>
    </w:p>
    <w:p>
      <w:pPr>
        <w:keepNext w:val="0"/>
        <w:keepLines w:val="0"/>
        <w:pageBreakBefore w:val="0"/>
        <w:kinsoku/>
        <w:overflowPunct/>
        <w:topLinePunct w:val="0"/>
        <w:autoSpaceDE/>
        <w:autoSpaceDN/>
        <w:bidi w:val="0"/>
        <w:adjustRightInd/>
        <w:spacing w:line="590" w:lineRule="exact"/>
        <w:ind w:firstLine="640" w:firstLineChars="20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w:t>
      </w:r>
      <w:r>
        <w:rPr>
          <w:rFonts w:hint="default"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　　　</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sectPr>
          <w:footerReference r:id="rId3" w:type="default"/>
          <w:pgSz w:w="11906" w:h="16838"/>
          <w:pgMar w:top="1984" w:right="1587" w:bottom="1984" w:left="1587" w:header="851" w:footer="992" w:gutter="0"/>
          <w:pgNumType w:fmt="decimal"/>
          <w:cols w:space="0" w:num="1"/>
          <w:docGrid w:type="lines" w:linePitch="313" w:charSpace="0"/>
        </w:sectPr>
      </w:pPr>
    </w:p>
    <w:p>
      <w:pPr>
        <w:keepNext w:val="0"/>
        <w:keepLines w:val="0"/>
        <w:pageBreakBefore w:val="0"/>
        <w:kinsoku/>
        <w:overflowPunct/>
        <w:topLinePunct w:val="0"/>
        <w:autoSpaceDE/>
        <w:autoSpaceDN/>
        <w:bidi w:val="0"/>
        <w:adjustRightInd/>
        <w:snapToGrid w:val="0"/>
        <w:spacing w:line="590" w:lineRule="exact"/>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附件1</w:t>
      </w:r>
    </w:p>
    <w:p>
      <w:pPr>
        <w:pStyle w:val="2"/>
        <w:keepNext w:val="0"/>
        <w:keepLines w:val="0"/>
        <w:pageBreakBefore w:val="0"/>
        <w:numPr>
          <w:ilvl w:val="0"/>
          <w:numId w:val="0"/>
        </w:numPr>
        <w:kinsoku/>
        <w:overflowPunct/>
        <w:topLinePunct w:val="0"/>
        <w:autoSpaceDE/>
        <w:autoSpaceDN/>
        <w:bidi w:val="0"/>
        <w:adjustRightInd/>
        <w:spacing w:line="590" w:lineRule="exact"/>
        <w:rPr>
          <w:rFonts w:hint="default" w:ascii="Times New Roman" w:hAnsi="Times New Roman" w:eastAsia="方正仿宋_GBK" w:cs="Times New Roman"/>
          <w:sz w:val="32"/>
          <w:szCs w:val="32"/>
        </w:rPr>
      </w:pPr>
    </w:p>
    <w:p>
      <w:pPr>
        <w:keepNext w:val="0"/>
        <w:keepLines w:val="0"/>
        <w:pageBreakBefore w:val="0"/>
        <w:kinsoku/>
        <w:overflowPunct/>
        <w:topLinePunct w:val="0"/>
        <w:autoSpaceDE/>
        <w:autoSpaceDN/>
        <w:bidi w:val="0"/>
        <w:adjustRightInd/>
        <w:snapToGrid w:val="0"/>
        <w:spacing w:line="59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新增病种及年度报销限额</w:t>
      </w:r>
    </w:p>
    <w:p>
      <w:pPr>
        <w:pStyle w:val="2"/>
        <w:keepNext w:val="0"/>
        <w:keepLines w:val="0"/>
        <w:pageBreakBefore w:val="0"/>
        <w:numPr>
          <w:ilvl w:val="0"/>
          <w:numId w:val="0"/>
        </w:numPr>
        <w:kinsoku/>
        <w:overflowPunct/>
        <w:topLinePunct w:val="0"/>
        <w:autoSpaceDE/>
        <w:autoSpaceDN/>
        <w:bidi w:val="0"/>
        <w:adjustRightInd/>
        <w:spacing w:line="590" w:lineRule="exact"/>
        <w:rPr>
          <w:rFonts w:hint="default" w:ascii="Times New Roman" w:hAnsi="Times New Roman" w:eastAsia="方正仿宋_GBK" w:cs="Times New Roman"/>
          <w:sz w:val="32"/>
          <w:szCs w:val="32"/>
        </w:rPr>
      </w:pPr>
    </w:p>
    <w:tbl>
      <w:tblPr>
        <w:tblStyle w:val="7"/>
        <w:tblW w:w="4998" w:type="pct"/>
        <w:jc w:val="center"/>
        <w:tblLayout w:type="autofit"/>
        <w:tblCellMar>
          <w:top w:w="0" w:type="dxa"/>
          <w:left w:w="108" w:type="dxa"/>
          <w:bottom w:w="0" w:type="dxa"/>
          <w:right w:w="108" w:type="dxa"/>
        </w:tblCellMar>
      </w:tblPr>
      <w:tblGrid>
        <w:gridCol w:w="721"/>
        <w:gridCol w:w="2056"/>
        <w:gridCol w:w="1813"/>
        <w:gridCol w:w="1818"/>
        <w:gridCol w:w="1803"/>
        <w:gridCol w:w="733"/>
      </w:tblGrid>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序号</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病种名称</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职工医保年度</w:t>
            </w:r>
            <w:r>
              <w:rPr>
                <w:rFonts w:hint="default" w:ascii="Times New Roman" w:hAnsi="Times New Roman" w:eastAsia="方正仿宋_GBK" w:cs="Times New Roman"/>
                <w:b/>
                <w:kern w:val="0"/>
                <w:sz w:val="32"/>
                <w:szCs w:val="32"/>
                <w:lang w:bidi="ar"/>
              </w:rPr>
              <w:br w:type="textWrapping"/>
            </w:r>
            <w:r>
              <w:rPr>
                <w:rFonts w:hint="default" w:ascii="Times New Roman" w:hAnsi="Times New Roman" w:eastAsia="方正仿宋_GBK" w:cs="Times New Roman"/>
                <w:b/>
                <w:kern w:val="0"/>
                <w:sz w:val="32"/>
                <w:szCs w:val="32"/>
                <w:lang w:bidi="ar"/>
              </w:rPr>
              <w:t>报销限额（万元）</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居民医保年度</w:t>
            </w:r>
            <w:r>
              <w:rPr>
                <w:rFonts w:hint="default" w:ascii="Times New Roman" w:hAnsi="Times New Roman" w:eastAsia="方正仿宋_GBK" w:cs="Times New Roman"/>
                <w:b/>
                <w:kern w:val="0"/>
                <w:sz w:val="32"/>
                <w:szCs w:val="32"/>
                <w:lang w:bidi="ar"/>
              </w:rPr>
              <w:br w:type="textWrapping"/>
            </w:r>
            <w:r>
              <w:rPr>
                <w:rFonts w:hint="default" w:ascii="Times New Roman" w:hAnsi="Times New Roman" w:eastAsia="方正仿宋_GBK" w:cs="Times New Roman"/>
                <w:b/>
                <w:kern w:val="0"/>
                <w:sz w:val="32"/>
                <w:szCs w:val="32"/>
                <w:lang w:bidi="ar"/>
              </w:rPr>
              <w:t>报销限额（万元）</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待遇享受</w:t>
            </w:r>
          </w:p>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（复审）期限</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分类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1</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戈谢病</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参照住院</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参照住院</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bookmarkStart w:id="1" w:name="_Hlk176809453"/>
            <w:r>
              <w:rPr>
                <w:rFonts w:hint="default" w:ascii="Times New Roman" w:hAnsi="Times New Roman" w:eastAsia="方正仿宋_GBK" w:cs="Times New Roman"/>
                <w:sz w:val="32"/>
                <w:szCs w:val="32"/>
              </w:rPr>
              <w:t>Ⅲ</w:t>
            </w:r>
            <w:bookmarkEnd w:id="1"/>
            <w:r>
              <w:rPr>
                <w:rFonts w:hint="default" w:ascii="Times New Roman" w:hAnsi="Times New Roman" w:eastAsia="方正仿宋_GBK" w:cs="Times New Roman"/>
                <w:sz w:val="32"/>
                <w:szCs w:val="32"/>
              </w:rPr>
              <w:t>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2</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阵发性睡眠性血红蛋白尿</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4.8</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4.2</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bookmarkStart w:id="2" w:name="_Hlk176809445"/>
            <w:r>
              <w:rPr>
                <w:rFonts w:hint="default" w:ascii="Times New Roman" w:hAnsi="Times New Roman" w:eastAsia="方正仿宋_GBK" w:cs="Times New Roman"/>
                <w:sz w:val="32"/>
                <w:szCs w:val="32"/>
              </w:rPr>
              <w:t>Ⅱ</w:t>
            </w:r>
            <w:bookmarkEnd w:id="2"/>
            <w:r>
              <w:rPr>
                <w:rFonts w:hint="default" w:ascii="Times New Roman" w:hAnsi="Times New Roman" w:eastAsia="方正仿宋_GBK" w:cs="Times New Roman"/>
                <w:sz w:val="32"/>
                <w:szCs w:val="32"/>
              </w:rPr>
              <w:t>类</w:t>
            </w:r>
          </w:p>
        </w:tc>
      </w:tr>
      <w:tr>
        <w:tblPrEx>
          <w:tblCellMar>
            <w:top w:w="0" w:type="dxa"/>
            <w:left w:w="108" w:type="dxa"/>
            <w:bottom w:w="0" w:type="dxa"/>
            <w:right w:w="108" w:type="dxa"/>
          </w:tblCellMar>
        </w:tblPrEx>
        <w:trPr>
          <w:trHeight w:val="556"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3</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非典型溶血性尿毒症</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2.4</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2.1</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Ⅱ类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4</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结节性硬化症</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9.6</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8.4</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Ⅱ类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5</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发作性睡病</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4.8</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4.2</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Ⅱ类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6</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低磷性佝偻病</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4</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3.5</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Ⅱ类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7</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短肠综合征</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1.36</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1.19</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bookmarkStart w:id="3" w:name="_Hlk176809462"/>
            <w:r>
              <w:rPr>
                <w:rFonts w:hint="default" w:ascii="Times New Roman" w:hAnsi="Times New Roman" w:eastAsia="方正仿宋_GBK" w:cs="Times New Roman"/>
                <w:kern w:val="0"/>
                <w:sz w:val="32"/>
                <w:szCs w:val="32"/>
                <w:lang w:bidi="ar"/>
              </w:rPr>
              <w:t>Ⅰ</w:t>
            </w:r>
            <w:bookmarkEnd w:id="3"/>
            <w:r>
              <w:rPr>
                <w:rFonts w:hint="default" w:ascii="Times New Roman" w:hAnsi="Times New Roman" w:eastAsia="方正仿宋_GBK" w:cs="Times New Roman"/>
                <w:kern w:val="0"/>
                <w:sz w:val="32"/>
                <w:szCs w:val="32"/>
                <w:lang w:bidi="ar"/>
              </w:rPr>
              <w:t>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8</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大动脉炎</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7.2</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6.3</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Ⅱ类</w:t>
            </w:r>
          </w:p>
        </w:tc>
      </w:tr>
      <w:tr>
        <w:tblPrEx>
          <w:tblCellMar>
            <w:top w:w="0" w:type="dxa"/>
            <w:left w:w="108" w:type="dxa"/>
            <w:bottom w:w="0" w:type="dxa"/>
            <w:right w:w="108" w:type="dxa"/>
          </w:tblCellMar>
        </w:tblPrEx>
        <w:trPr>
          <w:trHeight w:val="510" w:hRule="atLeast"/>
          <w:jc w:val="center"/>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9</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进行性纤维化性间质性肺疾病</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3.2</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2.8</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Ⅱ类</w:t>
            </w:r>
          </w:p>
        </w:tc>
      </w:tr>
    </w:tbl>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仿宋_GBK" w:cs="Times New Roman"/>
          <w:sz w:val="32"/>
          <w:szCs w:val="32"/>
        </w:rPr>
        <w:sectPr>
          <w:pgSz w:w="11906" w:h="16838"/>
          <w:pgMar w:top="1984" w:right="1587" w:bottom="1984" w:left="1587" w:header="851" w:footer="992" w:gutter="0"/>
          <w:pgNumType w:fmt="decimal"/>
          <w:cols w:space="0" w:num="1"/>
          <w:docGrid w:type="lines" w:linePitch="313" w:charSpace="0"/>
        </w:sectPr>
      </w:pPr>
    </w:p>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附件2</w:t>
      </w:r>
    </w:p>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部分病种调整年度报销限额</w:t>
      </w:r>
    </w:p>
    <w:p>
      <w:pPr>
        <w:keepNext w:val="0"/>
        <w:keepLines w:val="0"/>
        <w:pageBreakBefore w:val="0"/>
        <w:widowControl/>
        <w:kinsoku/>
        <w:overflowPunct/>
        <w:topLinePunct w:val="0"/>
        <w:autoSpaceDE/>
        <w:autoSpaceDN/>
        <w:bidi w:val="0"/>
        <w:adjustRightInd/>
        <w:spacing w:line="590" w:lineRule="exact"/>
        <w:jc w:val="left"/>
        <w:rPr>
          <w:rFonts w:hint="default" w:ascii="Times New Roman" w:hAnsi="Times New Roman" w:eastAsia="方正仿宋_GBK" w:cs="Times New Roman"/>
          <w:sz w:val="32"/>
          <w:szCs w:val="32"/>
        </w:rPr>
      </w:pPr>
    </w:p>
    <w:tbl>
      <w:tblPr>
        <w:tblStyle w:val="7"/>
        <w:tblW w:w="4998" w:type="pct"/>
        <w:tblInd w:w="0" w:type="dxa"/>
        <w:tblLayout w:type="autofit"/>
        <w:tblCellMar>
          <w:top w:w="0" w:type="dxa"/>
          <w:left w:w="108" w:type="dxa"/>
          <w:bottom w:w="0" w:type="dxa"/>
          <w:right w:w="108" w:type="dxa"/>
        </w:tblCellMar>
      </w:tblPr>
      <w:tblGrid>
        <w:gridCol w:w="721"/>
        <w:gridCol w:w="2056"/>
        <w:gridCol w:w="1813"/>
        <w:gridCol w:w="1818"/>
        <w:gridCol w:w="1803"/>
        <w:gridCol w:w="733"/>
      </w:tblGrid>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序号</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病种名称</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职工医保年度</w:t>
            </w:r>
            <w:r>
              <w:rPr>
                <w:rFonts w:hint="default" w:ascii="Times New Roman" w:hAnsi="Times New Roman" w:eastAsia="方正仿宋_GBK" w:cs="Times New Roman"/>
                <w:b/>
                <w:kern w:val="0"/>
                <w:sz w:val="32"/>
                <w:szCs w:val="32"/>
                <w:lang w:bidi="ar"/>
              </w:rPr>
              <w:br w:type="textWrapping"/>
            </w:r>
            <w:r>
              <w:rPr>
                <w:rFonts w:hint="default" w:ascii="Times New Roman" w:hAnsi="Times New Roman" w:eastAsia="方正仿宋_GBK" w:cs="Times New Roman"/>
                <w:b/>
                <w:kern w:val="0"/>
                <w:sz w:val="32"/>
                <w:szCs w:val="32"/>
                <w:lang w:bidi="ar"/>
              </w:rPr>
              <w:t>报销限额（万元）</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居民医保年度</w:t>
            </w:r>
            <w:r>
              <w:rPr>
                <w:rFonts w:hint="default" w:ascii="Times New Roman" w:hAnsi="Times New Roman" w:eastAsia="方正仿宋_GBK" w:cs="Times New Roman"/>
                <w:b/>
                <w:kern w:val="0"/>
                <w:sz w:val="32"/>
                <w:szCs w:val="32"/>
                <w:lang w:bidi="ar"/>
              </w:rPr>
              <w:br w:type="textWrapping"/>
            </w:r>
            <w:r>
              <w:rPr>
                <w:rFonts w:hint="default" w:ascii="Times New Roman" w:hAnsi="Times New Roman" w:eastAsia="方正仿宋_GBK" w:cs="Times New Roman"/>
                <w:b/>
                <w:kern w:val="0"/>
                <w:sz w:val="32"/>
                <w:szCs w:val="32"/>
                <w:lang w:bidi="ar"/>
              </w:rPr>
              <w:t>报销限额（万元）</w:t>
            </w:r>
          </w:p>
        </w:tc>
        <w:tc>
          <w:tcPr>
            <w:tcW w:w="1007" w:type="pct"/>
            <w:tcBorders>
              <w:top w:val="single" w:color="000000" w:sz="4" w:space="0"/>
              <w:left w:val="single" w:color="000000" w:sz="4" w:space="0"/>
              <w:bottom w:val="single" w:color="000000" w:sz="4" w:space="0"/>
              <w:right w:val="single" w:color="000000" w:sz="4" w:space="0"/>
            </w:tcBorders>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待遇享受</w:t>
            </w:r>
          </w:p>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（复审）期限</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分类</w:t>
            </w:r>
          </w:p>
        </w:tc>
      </w:tr>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1</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高血压</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0.5</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0.3</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Ⅰ类</w:t>
            </w:r>
          </w:p>
        </w:tc>
      </w:tr>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2</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糖尿病</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0.5</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0.42</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Ⅰ类</w:t>
            </w:r>
          </w:p>
        </w:tc>
      </w:tr>
      <w:tr>
        <w:tblPrEx>
          <w:tblCellMar>
            <w:top w:w="0" w:type="dxa"/>
            <w:left w:w="108" w:type="dxa"/>
            <w:bottom w:w="0" w:type="dxa"/>
            <w:right w:w="108" w:type="dxa"/>
          </w:tblCellMar>
        </w:tblPrEx>
        <w:trPr>
          <w:trHeight w:val="556"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3</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恶性肿瘤</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参照住院</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参照住院</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Ⅲ类</w:t>
            </w:r>
          </w:p>
        </w:tc>
      </w:tr>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4</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强直性脊柱炎</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1.5</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1.2</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Ⅰ类</w:t>
            </w:r>
          </w:p>
        </w:tc>
      </w:tr>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5</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肺动脉高压</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3.5</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3</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Ⅰ类</w:t>
            </w:r>
          </w:p>
        </w:tc>
      </w:tr>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6</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特发性肺纤维化</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1.8</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1.5</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Ⅰ类</w:t>
            </w:r>
          </w:p>
        </w:tc>
      </w:tr>
      <w:tr>
        <w:tblPrEx>
          <w:tblCellMar>
            <w:top w:w="0" w:type="dxa"/>
            <w:left w:w="108" w:type="dxa"/>
            <w:bottom w:w="0" w:type="dxa"/>
            <w:right w:w="108" w:type="dxa"/>
          </w:tblCellMar>
        </w:tblPrEx>
        <w:trPr>
          <w:trHeight w:val="510" w:hRule="atLeast"/>
        </w:trPr>
        <w:tc>
          <w:tcPr>
            <w:tcW w:w="40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7</w:t>
            </w:r>
          </w:p>
        </w:tc>
        <w:tc>
          <w:tcPr>
            <w:tcW w:w="114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系统性红斑狼疮</w:t>
            </w:r>
          </w:p>
        </w:tc>
        <w:tc>
          <w:tcPr>
            <w:tcW w:w="1013"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1.2</w:t>
            </w:r>
          </w:p>
        </w:tc>
        <w:tc>
          <w:tcPr>
            <w:tcW w:w="101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kern w:val="0"/>
                <w:sz w:val="32"/>
                <w:szCs w:val="32"/>
                <w:lang w:bidi="ar"/>
              </w:rPr>
              <w:t>1</w:t>
            </w:r>
          </w:p>
        </w:tc>
        <w:tc>
          <w:tcPr>
            <w:tcW w:w="1007"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长期</w:t>
            </w:r>
          </w:p>
        </w:tc>
        <w:tc>
          <w:tcPr>
            <w:tcW w:w="40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Ⅱ类</w:t>
            </w:r>
          </w:p>
        </w:tc>
      </w:tr>
    </w:tbl>
    <w:p>
      <w:pPr>
        <w:keepNext w:val="0"/>
        <w:keepLines w:val="0"/>
        <w:pageBreakBefore w:val="0"/>
        <w:widowControl/>
        <w:kinsoku/>
        <w:overflowPunct/>
        <w:topLinePunct w:val="0"/>
        <w:autoSpaceDE/>
        <w:autoSpaceDN/>
        <w:bidi w:val="0"/>
        <w:adjustRightInd/>
        <w:spacing w:line="590" w:lineRule="exact"/>
        <w:jc w:val="left"/>
        <w:rPr>
          <w:rFonts w:hint="default" w:ascii="Times New Roman" w:hAnsi="Times New Roman" w:eastAsia="方正仿宋_GBK" w:cs="Times New Roman"/>
          <w:sz w:val="32"/>
          <w:szCs w:val="32"/>
        </w:rPr>
      </w:pPr>
    </w:p>
    <w:p>
      <w:pPr>
        <w:keepNext w:val="0"/>
        <w:keepLines w:val="0"/>
        <w:pageBreakBefore w:val="0"/>
        <w:widowControl/>
        <w:kinsoku/>
        <w:overflowPunct/>
        <w:topLinePunct w:val="0"/>
        <w:autoSpaceDE/>
        <w:autoSpaceDN/>
        <w:bidi w:val="0"/>
        <w:adjustRightInd/>
        <w:spacing w:line="590" w:lineRule="exact"/>
        <w:jc w:val="left"/>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br w:type="page"/>
      </w:r>
    </w:p>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附件3</w:t>
      </w:r>
    </w:p>
    <w:p>
      <w:pPr>
        <w:keepNext w:val="0"/>
        <w:keepLines w:val="0"/>
        <w:pageBreakBefore w:val="0"/>
        <w:kinsoku/>
        <w:overflowPunct/>
        <w:topLinePunct w:val="0"/>
        <w:autoSpaceDE/>
        <w:autoSpaceDN/>
        <w:bidi w:val="0"/>
        <w:adjustRightInd/>
        <w:snapToGrid w:val="0"/>
        <w:spacing w:line="59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新增病种认定标准</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仿宋_GBK" w:cs="Times New Roman"/>
          <w:kern w:val="2"/>
          <w:sz w:val="32"/>
          <w:szCs w:val="32"/>
        </w:rPr>
      </w:pP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一、戈谢病</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1．病史：不明原因的脾肿大、肝肿大、贫血、血小板减少、骨痛和神经系统症状；</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2．葡萄糖脑苷脂酶活性检测，为诊断的金标准；</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3．骨髓形态学检查，大多数戈谢病患者骨髓形态学检查能发现特征性细胞即戈谢细胞；</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4．基因检测，目前已发现的葡萄糖脑苷脂酶基因突变类型有400多种；</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5．生物标记物：Lyso-GL-1，可用于辅助诊断和随访监测。</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二、阵发性睡眠性血红蛋白尿</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1．临床表现符合PNH；</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2．实验室检查：</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（1）Ham试验、糖水试验、蛇毒因子溶血试验、尿潜血（或尿含铁血黄素）等试验中凡符合任何一种情况，即可诊断；</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（2）流式细胞术检测发现：外周血中CD55或CD59阴性中性粒细胞或红细胞＞10％（5％～10％为可疑）；</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临床表现符合，实验室检查具备（1）项或（2）项者皆可诊断。（1）、（2）两项可以相互佐证。</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三、非典型溶血性尿毒症</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1．存在典型的疾病三联征（微血管病性溶血性贫血、血小板减少症和急性肾功能衰竭）；</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2．存在补体相关基因突变，如：CFH、CD46、CFI、C3、CFB、THBD、MCP、CFHR1、CFHR5和DGKE等或存在补体因子抗体；</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3．肾脏病理检查符合。</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四、结节性硬化症</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诊断特征包括主要特征和次要特征。结节性硬化症基因诊断标准明确：致病性突变（已报告致病性突变或功能确认结节性硬化症基因突变并影响结节性硬化症1/2复合体功能）可作为独立诊断标准。</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主要特征：低黑色素性黄斑（≥3个，直径≥5mm），血管纤维瘤（≥3个）或头部纤维斑块，非外伤性指（趾）甲或甲周纤维瘤（≥2个），鲨鱼皮斑，多发性视网膜错构瘤，皮质发育不良，室管膜下结节，室管膜下巨细胞星形细胞瘤，心脏横纹肌瘤，淋巴管平滑肌瘤病，血管平滑肌脂肪瘤（≥2）。</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次要特征：“斑斓”皮损，牙釉质点状凹陷（≥3个），口内纤维瘤（≥1个），视网膜脱色斑，多发性肾囊肿，非肾错构瘤，骨质硬化性病变。</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诊断标准有明确诊断和可能诊断，明确诊断须具有2个主要特征或者具有1个主要特征+至少2个次要特征；可能诊断须具有1个主要特征或者至少2个次要特征。</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五、发作性睡病</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1．有嗜睡主诉或突发肌无力；</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2．几乎每日反复发生白天小睡或进入睡眠，至少3个月；</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3．情绪诱发的突然双侧姿势性肌张力丧失；</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4．伴随特征：睡眠麻痹、睡前幻觉、自动行为、夜间频繁觉醒；</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5．多导睡眠图（PSG）显示下面1个或多个特征：睡眠潜伏期＜10min；REM睡眠潜伏期＜20min；多次睡眠潜伏期试验（MSLT）平均潜伏期≤8min；出现≥2次的睡眠始发的REM睡眠；</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6．HLA分型显示DQBI*0602或DR2阳性；</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7．临床症状不能用其它躯体、精神疾病解释。</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六、低磷性佝偻病</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1．典型的临床表现；</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2．实验室检查：血磷水平显著降低，血钙正常或偏低，尿磷增加，肾磷阈（TmP/GFR）降低，血碱性磷酸酶水平升高，甲状旁腺素（parathyroid hormone，PTH）可正常或轻度升高，1,25（OH）2D常较低（见于FGF23相关性低磷佝偻病患者），25（OH）D可正常或偏低，血FGF23水平升高；</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3．影像学表现：佝偻病性病变特征在长骨干骺端，骨骺生长板增厚膨出，干骺端增宽似杯状：骨骺端骨小梁紊乱、稀疏粗糙/边缘不齐，呈毛刷样；</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4．分子遗传学检测。</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七、短肠综合征</w:t>
      </w:r>
    </w:p>
    <w:p>
      <w:pPr>
        <w:keepNext w:val="0"/>
        <w:keepLines w:val="0"/>
        <w:pageBreakBefore w:val="0"/>
        <w:kinsoku/>
        <w:overflowPunct/>
        <w:topLinePunct w:val="0"/>
        <w:autoSpaceDE/>
        <w:autoSpaceDN/>
        <w:bidi w:val="0"/>
        <w:adjustRightInd/>
        <w:spacing w:line="590" w:lineRule="exact"/>
        <w:ind w:firstLine="640" w:firstLineChars="200"/>
        <w:jc w:val="left"/>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有明确的各种原因导致广泛小肠切除或旷置，残留肠道不能满足患者的营养或儿童生长需求的病因，分两部分：功能诊断包括身高体重和其他营养指标；解剖诊断包括手术记录或影像学或内镜检查结果。</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八、大动脉炎</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1．巨细胞动脉炎；</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2．慢性主动脉周围炎；</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3．其他免疫炎症性疾病伴发主动脉炎；</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4．累及主动脉及主动脉一级分支的大血管炎。</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 xml:space="preserve">九、进行性纤维化性间质性肺疾病 </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在过去1年内，病情变化符合以下3项标准中至少2项，即可诊断：</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1．呼吸道症状恶化；</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2．有疾病进展的呼吸生理证据；</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（1）随访1年内FVC%预计值绝对下降≥5%；</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（2）随访1年内校正血红蛋白后的DLCO%预计值绝对下降≥10%；</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lang w:val="en"/>
        </w:rPr>
      </w:pPr>
      <w:r>
        <w:rPr>
          <w:rFonts w:hint="default" w:ascii="Times New Roman" w:hAnsi="Times New Roman" w:eastAsia="方正仿宋_GBK" w:cs="Times New Roman"/>
          <w:sz w:val="32"/>
          <w:szCs w:val="32"/>
        </w:rPr>
        <w:t>3．一种或多种疾病进展的影像学证据</w:t>
      </w:r>
      <w:r>
        <w:rPr>
          <w:rFonts w:hint="default" w:ascii="Times New Roman" w:hAnsi="Times New Roman" w:eastAsia="方正仿宋_GBK" w:cs="Times New Roman"/>
          <w:sz w:val="32"/>
          <w:szCs w:val="32"/>
          <w:lang w:val="en"/>
        </w:rPr>
        <w:t>:</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（1）牵拉性支气管扩张和细支气管扩张的范围或严重程度增加；</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（2）伴有牵拉性支气管扩张的新增磨玻璃影；</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（3）新发细小网格影；</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（4）网状结构异常的范围或粗糙度增加；</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（5）新出现的或增多的蜂窝影；</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jc w:val="both"/>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（6）肺叶容积进一步缩小。</w:t>
      </w:r>
    </w:p>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仿宋_GBK" w:cs="Times New Roman"/>
          <w:sz w:val="32"/>
          <w:szCs w:val="32"/>
        </w:rPr>
        <w:sectPr>
          <w:pgSz w:w="11906" w:h="16838"/>
          <w:pgMar w:top="1984" w:right="1587" w:bottom="1984" w:left="1587" w:header="851" w:footer="992" w:gutter="0"/>
          <w:pgNumType w:fmt="decimal"/>
          <w:cols w:space="0" w:num="1"/>
          <w:docGrid w:type="lines" w:linePitch="313" w:charSpace="0"/>
        </w:sectPr>
      </w:pPr>
    </w:p>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附件4</w:t>
      </w:r>
    </w:p>
    <w:p>
      <w:pPr>
        <w:pStyle w:val="9"/>
        <w:keepNext w:val="0"/>
        <w:keepLines w:val="0"/>
        <w:pageBreakBefore w:val="0"/>
        <w:kinsoku/>
        <w:overflowPunct/>
        <w:topLinePunct w:val="0"/>
        <w:autoSpaceDE/>
        <w:autoSpaceDN/>
        <w:bidi w:val="0"/>
        <w:adjustRightInd/>
        <w:snapToGrid w:val="0"/>
        <w:spacing w:line="590" w:lineRule="exact"/>
        <w:rPr>
          <w:rFonts w:hint="default" w:ascii="Times New Roman" w:hAnsi="Times New Roman" w:eastAsia="方正小标宋_GBK" w:cs="Times New Roman"/>
          <w:sz w:val="44"/>
          <w:szCs w:val="44"/>
        </w:rPr>
      </w:pPr>
    </w:p>
    <w:p>
      <w:pPr>
        <w:keepNext w:val="0"/>
        <w:keepLines w:val="0"/>
        <w:pageBreakBefore w:val="0"/>
        <w:kinsoku/>
        <w:overflowPunct/>
        <w:topLinePunct w:val="0"/>
        <w:autoSpaceDE/>
        <w:autoSpaceDN/>
        <w:bidi w:val="0"/>
        <w:adjustRightInd/>
        <w:snapToGrid w:val="0"/>
        <w:spacing w:line="59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高血压、糖尿病、恶性肿瘤病种编码</w:t>
      </w:r>
    </w:p>
    <w:tbl>
      <w:tblPr>
        <w:tblStyle w:val="7"/>
        <w:tblpPr w:leftFromText="180" w:rightFromText="180" w:vertAnchor="text" w:horzAnchor="page" w:tblpXSpec="center" w:tblpY="443"/>
        <w:tblOverlap w:val="never"/>
        <w:tblW w:w="4998" w:type="pct"/>
        <w:jc w:val="center"/>
        <w:tblLayout w:type="autofit"/>
        <w:tblCellMar>
          <w:top w:w="0" w:type="dxa"/>
          <w:left w:w="108" w:type="dxa"/>
          <w:bottom w:w="0" w:type="dxa"/>
          <w:right w:w="108" w:type="dxa"/>
        </w:tblCellMar>
      </w:tblPr>
      <w:tblGrid>
        <w:gridCol w:w="1506"/>
        <w:gridCol w:w="2096"/>
        <w:gridCol w:w="2767"/>
        <w:gridCol w:w="2575"/>
      </w:tblGrid>
      <w:tr>
        <w:tblPrEx>
          <w:tblCellMar>
            <w:top w:w="0" w:type="dxa"/>
            <w:left w:w="108" w:type="dxa"/>
            <w:bottom w:w="0" w:type="dxa"/>
            <w:right w:w="108" w:type="dxa"/>
          </w:tblCellMar>
        </w:tblPrEx>
        <w:trPr>
          <w:trHeight w:val="945" w:hRule="exact"/>
          <w:jc w:val="center"/>
        </w:trPr>
        <w:tc>
          <w:tcPr>
            <w:tcW w:w="842"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序号</w:t>
            </w:r>
          </w:p>
        </w:tc>
        <w:tc>
          <w:tcPr>
            <w:tcW w:w="1171"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病种</w:t>
            </w:r>
          </w:p>
        </w:tc>
        <w:tc>
          <w:tcPr>
            <w:tcW w:w="154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sz w:val="32"/>
                <w:szCs w:val="32"/>
              </w:rPr>
            </w:pPr>
            <w:r>
              <w:rPr>
                <w:rFonts w:hint="default" w:ascii="Times New Roman" w:hAnsi="Times New Roman" w:eastAsia="方正仿宋_GBK" w:cs="Times New Roman"/>
                <w:b/>
                <w:kern w:val="0"/>
                <w:sz w:val="32"/>
                <w:szCs w:val="32"/>
                <w:lang w:bidi="ar"/>
              </w:rPr>
              <w:t>原病种编码</w:t>
            </w:r>
          </w:p>
        </w:tc>
        <w:tc>
          <w:tcPr>
            <w:tcW w:w="1439"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b/>
                <w:kern w:val="0"/>
                <w:sz w:val="32"/>
                <w:szCs w:val="32"/>
                <w:lang w:bidi="ar"/>
              </w:rPr>
            </w:pPr>
            <w:r>
              <w:rPr>
                <w:rFonts w:hint="default" w:ascii="Times New Roman" w:hAnsi="Times New Roman" w:eastAsia="方正仿宋_GBK" w:cs="Times New Roman"/>
                <w:b/>
                <w:kern w:val="0"/>
                <w:sz w:val="32"/>
                <w:szCs w:val="32"/>
                <w:lang w:bidi="ar"/>
              </w:rPr>
              <w:t>现病种编码</w:t>
            </w:r>
          </w:p>
        </w:tc>
      </w:tr>
      <w:tr>
        <w:tblPrEx>
          <w:tblCellMar>
            <w:top w:w="0" w:type="dxa"/>
            <w:left w:w="108" w:type="dxa"/>
            <w:bottom w:w="0" w:type="dxa"/>
            <w:right w:w="108" w:type="dxa"/>
          </w:tblCellMar>
        </w:tblPrEx>
        <w:trPr>
          <w:trHeight w:val="680" w:hRule="exact"/>
          <w:jc w:val="center"/>
        </w:trPr>
        <w:tc>
          <w:tcPr>
            <w:tcW w:w="842" w:type="pct"/>
            <w:vMerge w:val="restart"/>
            <w:tcBorders>
              <w:top w:val="single" w:color="000000" w:sz="4" w:space="0"/>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1</w:t>
            </w:r>
          </w:p>
        </w:tc>
        <w:tc>
          <w:tcPr>
            <w:tcW w:w="1171" w:type="pct"/>
            <w:vMerge w:val="restart"/>
            <w:tcBorders>
              <w:top w:val="single" w:color="000000" w:sz="4" w:space="0"/>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高血压</w:t>
            </w:r>
          </w:p>
        </w:tc>
        <w:tc>
          <w:tcPr>
            <w:tcW w:w="154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M03900</w:t>
            </w:r>
          </w:p>
        </w:tc>
        <w:tc>
          <w:tcPr>
            <w:tcW w:w="1439" w:type="pct"/>
            <w:vMerge w:val="restart"/>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M03900</w:t>
            </w:r>
          </w:p>
        </w:tc>
      </w:tr>
      <w:tr>
        <w:tblPrEx>
          <w:tblCellMar>
            <w:top w:w="0" w:type="dxa"/>
            <w:left w:w="108" w:type="dxa"/>
            <w:bottom w:w="0" w:type="dxa"/>
            <w:right w:w="108" w:type="dxa"/>
          </w:tblCellMar>
        </w:tblPrEx>
        <w:trPr>
          <w:trHeight w:val="680" w:hRule="exact"/>
          <w:jc w:val="center"/>
        </w:trPr>
        <w:tc>
          <w:tcPr>
            <w:tcW w:w="842" w:type="pct"/>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p>
        </w:tc>
        <w:tc>
          <w:tcPr>
            <w:tcW w:w="1171" w:type="pct"/>
            <w:vMerge w:val="continue"/>
            <w:tcBorders>
              <w:left w:val="single" w:color="000000" w:sz="4" w:space="0"/>
              <w:bottom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p>
        </w:tc>
        <w:tc>
          <w:tcPr>
            <w:tcW w:w="154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M03904</w:t>
            </w:r>
          </w:p>
        </w:tc>
        <w:tc>
          <w:tcPr>
            <w:tcW w:w="1439" w:type="pct"/>
            <w:vMerge w:val="continue"/>
            <w:tcBorders>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p>
        </w:tc>
      </w:tr>
      <w:tr>
        <w:tblPrEx>
          <w:tblCellMar>
            <w:top w:w="0" w:type="dxa"/>
            <w:left w:w="108" w:type="dxa"/>
            <w:bottom w:w="0" w:type="dxa"/>
            <w:right w:w="108" w:type="dxa"/>
          </w:tblCellMar>
        </w:tblPrEx>
        <w:trPr>
          <w:trHeight w:val="680" w:hRule="exact"/>
          <w:jc w:val="center"/>
        </w:trPr>
        <w:tc>
          <w:tcPr>
            <w:tcW w:w="842" w:type="pct"/>
            <w:vMerge w:val="restart"/>
            <w:tcBorders>
              <w:top w:val="single" w:color="000000" w:sz="4" w:space="0"/>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2</w:t>
            </w:r>
          </w:p>
        </w:tc>
        <w:tc>
          <w:tcPr>
            <w:tcW w:w="1171" w:type="pct"/>
            <w:vMerge w:val="restart"/>
            <w:tcBorders>
              <w:top w:val="single" w:color="000000" w:sz="4" w:space="0"/>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糖尿病</w:t>
            </w:r>
          </w:p>
        </w:tc>
        <w:tc>
          <w:tcPr>
            <w:tcW w:w="154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M01600</w:t>
            </w:r>
          </w:p>
        </w:tc>
        <w:tc>
          <w:tcPr>
            <w:tcW w:w="1439" w:type="pct"/>
            <w:vMerge w:val="restart"/>
            <w:tcBorders>
              <w:top w:val="single" w:color="000000"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M01600</w:t>
            </w:r>
          </w:p>
        </w:tc>
      </w:tr>
      <w:tr>
        <w:tblPrEx>
          <w:tblCellMar>
            <w:top w:w="0" w:type="dxa"/>
            <w:left w:w="108" w:type="dxa"/>
            <w:bottom w:w="0" w:type="dxa"/>
            <w:right w:w="108" w:type="dxa"/>
          </w:tblCellMar>
        </w:tblPrEx>
        <w:trPr>
          <w:trHeight w:val="680" w:hRule="exact"/>
          <w:jc w:val="center"/>
        </w:trPr>
        <w:tc>
          <w:tcPr>
            <w:tcW w:w="842" w:type="pct"/>
            <w:vMerge w:val="continue"/>
            <w:tcBorders>
              <w:left w:val="single" w:color="000000"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p>
        </w:tc>
        <w:tc>
          <w:tcPr>
            <w:tcW w:w="1171" w:type="pct"/>
            <w:vMerge w:val="continue"/>
            <w:tcBorders>
              <w:left w:val="single" w:color="000000"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p>
        </w:tc>
        <w:tc>
          <w:tcPr>
            <w:tcW w:w="1546" w:type="pct"/>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M01601</w:t>
            </w:r>
          </w:p>
        </w:tc>
        <w:tc>
          <w:tcPr>
            <w:tcW w:w="1439" w:type="pct"/>
            <w:vMerge w:val="continue"/>
            <w:tcBorders>
              <w:left w:val="single" w:color="000000" w:sz="4" w:space="0"/>
              <w:bottom w:val="single" w:color="auto"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p>
        </w:tc>
      </w:tr>
      <w:tr>
        <w:tblPrEx>
          <w:tblCellMar>
            <w:top w:w="0" w:type="dxa"/>
            <w:left w:w="108" w:type="dxa"/>
            <w:bottom w:w="0" w:type="dxa"/>
            <w:right w:w="108" w:type="dxa"/>
          </w:tblCellMar>
        </w:tblPrEx>
        <w:trPr>
          <w:trHeight w:val="680" w:hRule="exact"/>
          <w:jc w:val="center"/>
        </w:trPr>
        <w:tc>
          <w:tcPr>
            <w:tcW w:w="842" w:type="pct"/>
            <w:vMerge w:val="restart"/>
            <w:tcBorders>
              <w:top w:val="single" w:color="auto" w:sz="4" w:space="0"/>
              <w:left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kern w:val="0"/>
                <w:sz w:val="32"/>
                <w:szCs w:val="32"/>
                <w:lang w:bidi="ar"/>
              </w:rPr>
              <w:t>3</w:t>
            </w:r>
          </w:p>
        </w:tc>
        <w:tc>
          <w:tcPr>
            <w:tcW w:w="1171" w:type="pct"/>
            <w:vMerge w:val="restart"/>
            <w:tcBorders>
              <w:top w:val="single" w:color="auto" w:sz="4" w:space="0"/>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r>
              <w:rPr>
                <w:rFonts w:hint="default" w:ascii="Times New Roman" w:hAnsi="Times New Roman" w:eastAsia="方正仿宋_GBK" w:cs="Times New Roman"/>
                <w:sz w:val="32"/>
                <w:szCs w:val="32"/>
              </w:rPr>
              <w:t>恶性肿瘤</w:t>
            </w:r>
          </w:p>
        </w:tc>
        <w:tc>
          <w:tcPr>
            <w:tcW w:w="1546" w:type="pct"/>
            <w:tcBorders>
              <w:top w:val="single" w:color="auto"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M00500</w:t>
            </w:r>
          </w:p>
        </w:tc>
        <w:tc>
          <w:tcPr>
            <w:tcW w:w="1439" w:type="pct"/>
            <w:vMerge w:val="restart"/>
            <w:tcBorders>
              <w:top w:val="single" w:color="auto" w:sz="4" w:space="0"/>
              <w:left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M00500</w:t>
            </w:r>
          </w:p>
        </w:tc>
      </w:tr>
      <w:tr>
        <w:tblPrEx>
          <w:tblCellMar>
            <w:top w:w="0" w:type="dxa"/>
            <w:left w:w="108" w:type="dxa"/>
            <w:bottom w:w="0" w:type="dxa"/>
            <w:right w:w="108" w:type="dxa"/>
          </w:tblCellMar>
        </w:tblPrEx>
        <w:trPr>
          <w:trHeight w:val="680" w:hRule="exact"/>
          <w:jc w:val="center"/>
        </w:trPr>
        <w:tc>
          <w:tcPr>
            <w:tcW w:w="842" w:type="pct"/>
            <w:vMerge w:val="continue"/>
            <w:tcBorders>
              <w:left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p>
        </w:tc>
        <w:tc>
          <w:tcPr>
            <w:tcW w:w="1171" w:type="pct"/>
            <w:vMerge w:val="continue"/>
            <w:tcBorders>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p>
        </w:tc>
        <w:tc>
          <w:tcPr>
            <w:tcW w:w="1546" w:type="pct"/>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M00501</w:t>
            </w:r>
          </w:p>
        </w:tc>
        <w:tc>
          <w:tcPr>
            <w:tcW w:w="1439" w:type="pct"/>
            <w:vMerge w:val="continue"/>
            <w:tcBorders>
              <w:left w:val="single" w:color="000000"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p>
        </w:tc>
      </w:tr>
      <w:tr>
        <w:tblPrEx>
          <w:tblCellMar>
            <w:top w:w="0" w:type="dxa"/>
            <w:left w:w="108" w:type="dxa"/>
            <w:bottom w:w="0" w:type="dxa"/>
            <w:right w:w="108" w:type="dxa"/>
          </w:tblCellMar>
        </w:tblPrEx>
        <w:trPr>
          <w:trHeight w:val="680" w:hRule="exact"/>
          <w:jc w:val="center"/>
        </w:trPr>
        <w:tc>
          <w:tcPr>
            <w:tcW w:w="842" w:type="pct"/>
            <w:vMerge w:val="continue"/>
            <w:tcBorders>
              <w:left w:val="single" w:color="auto"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p>
        </w:tc>
        <w:tc>
          <w:tcPr>
            <w:tcW w:w="1171" w:type="pct"/>
            <w:vMerge w:val="continue"/>
            <w:tcBorders>
              <w:left w:val="single" w:color="000000"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sz w:val="32"/>
                <w:szCs w:val="32"/>
              </w:rPr>
            </w:pPr>
          </w:p>
        </w:tc>
        <w:tc>
          <w:tcPr>
            <w:tcW w:w="1546" w:type="pct"/>
            <w:tcBorders>
              <w:top w:val="single" w:color="000000" w:sz="4" w:space="0"/>
              <w:left w:val="single" w:color="000000" w:sz="4" w:space="0"/>
              <w:bottom w:val="single" w:color="auto" w:sz="4" w:space="0"/>
              <w:right w:val="single" w:color="000000" w:sz="4" w:space="0"/>
            </w:tcBorders>
            <w:vAlign w:val="center"/>
          </w:tcPr>
          <w:p>
            <w:pPr>
              <w:keepNext w:val="0"/>
              <w:keepLines w:val="0"/>
              <w:pageBreakBefore w:val="0"/>
              <w:kinsoku/>
              <w:overflowPunct/>
              <w:topLinePunct w:val="0"/>
              <w:autoSpaceDE/>
              <w:autoSpaceDN/>
              <w:bidi w:val="0"/>
              <w:adjustRightInd/>
              <w:spacing w:line="590" w:lineRule="exact"/>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M00507</w:t>
            </w:r>
          </w:p>
        </w:tc>
        <w:tc>
          <w:tcPr>
            <w:tcW w:w="1439" w:type="pct"/>
            <w:vMerge w:val="continue"/>
            <w:tcBorders>
              <w:left w:val="single" w:color="000000" w:sz="4" w:space="0"/>
              <w:bottom w:val="single" w:color="auto" w:sz="4" w:space="0"/>
              <w:right w:val="single" w:color="000000" w:sz="4" w:space="0"/>
            </w:tcBorders>
            <w:vAlign w:val="center"/>
          </w:tcPr>
          <w:p>
            <w:pPr>
              <w:keepNext w:val="0"/>
              <w:keepLines w:val="0"/>
              <w:pageBreakBefore w:val="0"/>
              <w:widowControl/>
              <w:kinsoku/>
              <w:overflowPunct/>
              <w:topLinePunct w:val="0"/>
              <w:autoSpaceDE/>
              <w:autoSpaceDN/>
              <w:bidi w:val="0"/>
              <w:adjustRightInd/>
              <w:spacing w:line="590" w:lineRule="exact"/>
              <w:jc w:val="center"/>
              <w:textAlignment w:val="center"/>
              <w:rPr>
                <w:rFonts w:hint="default" w:ascii="Times New Roman" w:hAnsi="Times New Roman" w:eastAsia="方正仿宋_GBK" w:cs="Times New Roman"/>
                <w:kern w:val="0"/>
                <w:sz w:val="32"/>
                <w:szCs w:val="32"/>
                <w:lang w:bidi="ar"/>
              </w:rPr>
            </w:pPr>
          </w:p>
        </w:tc>
      </w:tr>
    </w:tbl>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仿宋_GBK" w:cs="Times New Roman"/>
          <w:sz w:val="32"/>
          <w:szCs w:val="32"/>
        </w:rPr>
        <w:sectPr>
          <w:pgSz w:w="11906" w:h="16838"/>
          <w:pgMar w:top="1984" w:right="1587" w:bottom="1984" w:left="1587" w:header="851" w:footer="992" w:gutter="0"/>
          <w:pgNumType w:fmt="decimal"/>
          <w:cols w:space="0" w:num="1"/>
          <w:docGrid w:type="lines" w:linePitch="313" w:charSpace="0"/>
        </w:sectPr>
      </w:pPr>
    </w:p>
    <w:p>
      <w:pPr>
        <w:keepNext w:val="0"/>
        <w:keepLines w:val="0"/>
        <w:pageBreakBefore w:val="0"/>
        <w:kinsoku/>
        <w:overflowPunct/>
        <w:topLinePunct w:val="0"/>
        <w:autoSpaceDE/>
        <w:autoSpaceDN/>
        <w:bidi w:val="0"/>
        <w:adjustRightInd/>
        <w:spacing w:line="590" w:lineRule="exact"/>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附件5</w:t>
      </w:r>
    </w:p>
    <w:p>
      <w:pPr>
        <w:keepNext w:val="0"/>
        <w:keepLines w:val="0"/>
        <w:pageBreakBefore w:val="0"/>
        <w:kinsoku/>
        <w:overflowPunct/>
        <w:topLinePunct w:val="0"/>
        <w:autoSpaceDE/>
        <w:autoSpaceDN/>
        <w:bidi w:val="0"/>
        <w:adjustRightInd/>
        <w:snapToGrid w:val="0"/>
        <w:spacing w:line="59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新修订部分病种认定标准</w:t>
      </w:r>
    </w:p>
    <w:p>
      <w:pPr>
        <w:pStyle w:val="9"/>
        <w:keepNext w:val="0"/>
        <w:keepLines w:val="0"/>
        <w:pageBreakBefore w:val="0"/>
        <w:kinsoku/>
        <w:overflowPunct/>
        <w:topLinePunct w:val="0"/>
        <w:autoSpaceDE/>
        <w:autoSpaceDN/>
        <w:bidi w:val="0"/>
        <w:adjustRightInd/>
        <w:snapToGrid w:val="0"/>
        <w:spacing w:line="590" w:lineRule="exact"/>
        <w:rPr>
          <w:rFonts w:hint="default" w:ascii="Times New Roman" w:hAnsi="Times New Roman" w:eastAsia="方正仿宋_GBK" w:cs="Times New Roman"/>
          <w:sz w:val="32"/>
          <w:szCs w:val="32"/>
        </w:rPr>
      </w:pP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rPr>
          <w:rFonts w:hint="default" w:ascii="Times New Roman" w:hAnsi="Times New Roman" w:eastAsia="方正黑体_GBK" w:cs="Times New Roman"/>
          <w:kern w:val="2"/>
          <w:sz w:val="32"/>
          <w:szCs w:val="32"/>
        </w:rPr>
      </w:pPr>
      <w:r>
        <w:rPr>
          <w:rFonts w:hint="default" w:ascii="Times New Roman" w:hAnsi="Times New Roman" w:eastAsia="方正黑体_GBK" w:cs="Times New Roman"/>
          <w:kern w:val="2"/>
          <w:sz w:val="32"/>
          <w:szCs w:val="32"/>
        </w:rPr>
        <w:t>一、高血压</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trike/>
          <w:sz w:val="32"/>
          <w:szCs w:val="32"/>
        </w:rPr>
      </w:pPr>
      <w:r>
        <w:rPr>
          <w:rFonts w:hint="default" w:ascii="Times New Roman" w:hAnsi="Times New Roman" w:eastAsia="方正仿宋_GBK" w:cs="Times New Roman"/>
          <w:sz w:val="32"/>
          <w:szCs w:val="32"/>
        </w:rPr>
        <w:t>1．经二级以上定点医疗机构住院或者门诊确诊，需要长期药物治疗。门诊确诊需提供近半年内至少两次非同日门诊病历及用药记录（两次需间隔≥28天），住院确诊需提供当次出院小结及用药记录（即医疗发票及当期合规处方）。</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经二级及以上医院住院确诊（或当地最高级别医疗机构疾病门诊诊断证明），并合并有心（心肌梗死、充血性心力衰竭）、脑（脑出血、脑梗死、腔隙性脑梗死）、肾（血肌酐＞125μmol/L、肾移植术后、肾透析）或视网膜病变（出血或渗出或视乳头水肿）并发症其中之一。</w:t>
      </w:r>
    </w:p>
    <w:p>
      <w:pPr>
        <w:pStyle w:val="9"/>
        <w:keepNext w:val="0"/>
        <w:keepLines w:val="0"/>
        <w:pageBreakBefore w:val="0"/>
        <w:kinsoku/>
        <w:overflowPunct/>
        <w:topLinePunct w:val="0"/>
        <w:autoSpaceDE/>
        <w:autoSpaceDN/>
        <w:bidi w:val="0"/>
        <w:adjustRightInd/>
        <w:spacing w:line="590" w:lineRule="exact"/>
        <w:ind w:firstLine="64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符合条件1或条件2，均可被认定为高血压。</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rPr>
          <w:rFonts w:hint="default" w:ascii="Times New Roman" w:hAnsi="Times New Roman" w:eastAsia="方正黑体_GBK" w:cs="Times New Roman"/>
          <w:b w:val="0"/>
          <w:bCs w:val="0"/>
          <w:kern w:val="2"/>
          <w:sz w:val="32"/>
          <w:szCs w:val="32"/>
        </w:rPr>
      </w:pPr>
      <w:r>
        <w:rPr>
          <w:rFonts w:hint="default" w:ascii="Times New Roman" w:hAnsi="Times New Roman" w:eastAsia="方正黑体_GBK" w:cs="Times New Roman"/>
          <w:b w:val="0"/>
          <w:bCs w:val="0"/>
          <w:kern w:val="2"/>
          <w:sz w:val="32"/>
          <w:szCs w:val="32"/>
        </w:rPr>
        <w:t>二、糖尿病</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1．经二级及以上医疗机构血糖检测确诊为糖尿病，并伴有视网膜病变（</w:t>
      </w:r>
      <w:r>
        <w:rPr>
          <w:rFonts w:hint="default" w:ascii="Times New Roman" w:hAnsi="Times New Roman" w:eastAsia="方正仿宋_GBK" w:cs="Times New Roman"/>
          <w:spacing w:val="-6"/>
          <w:sz w:val="32"/>
          <w:szCs w:val="32"/>
        </w:rPr>
        <w:t>有微血管瘤、出血、渗出）、高血压病、冠心病、脑卒中、糖尿病肾病（尿蛋白增高或微量白蛋白高于正常）、肾功能不全或</w:t>
      </w:r>
      <w:r>
        <w:rPr>
          <w:rFonts w:hint="default" w:ascii="Times New Roman" w:hAnsi="Times New Roman" w:eastAsia="方正仿宋_GBK" w:cs="Times New Roman"/>
          <w:sz w:val="32"/>
          <w:szCs w:val="32"/>
        </w:rPr>
        <w:t>糖尿病神经病足、糖尿病周围血管病变其中之一，需要长期口服降糖药。</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2．Ⅰ型糖尿病、部分Ⅱ型糖尿病或因胰腺疾病，需要长期（半年以上）使用胰岛素治疗。</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备注：1．无急性</w:t>
      </w:r>
      <w:r>
        <w:rPr>
          <w:rFonts w:hint="default" w:ascii="Times New Roman" w:hAnsi="Times New Roman" w:eastAsia="方正仿宋_GBK" w:cs="Times New Roman"/>
          <w:spacing w:val="-6"/>
          <w:sz w:val="32"/>
          <w:szCs w:val="32"/>
        </w:rPr>
        <w:t>代谢紊乱（糖尿病酮症酸中毒、糖尿病非酮高渗性昏迷等），应提供非同一天血糖检查结果；2．因急性疾病（如急性心肌梗死、脑中风等）住院时发现的高血糖疾病，应在病情稳定2周后重新检查；3．内分泌专科住院发现的高血糖应提供出院小结，非内分泌专科住院发现的高血糖应提供住院治疗期间的化验单；4．冠心病、脑卒中</w:t>
      </w:r>
      <w:r>
        <w:rPr>
          <w:rFonts w:hint="default" w:ascii="Times New Roman" w:hAnsi="Times New Roman" w:eastAsia="方正仿宋_GBK" w:cs="Times New Roman"/>
          <w:sz w:val="32"/>
          <w:szCs w:val="32"/>
        </w:rPr>
        <w:t>、糖尿病肾病（尿蛋白增高或微量白蛋白高于正常）或伴有肾功能不全、糖尿病神经病足、糖尿病周围血管病变需参保地（或就医地）二级及以上医疗机构疾病诊断证明或相关科室检查报告。</w:t>
      </w:r>
    </w:p>
    <w:p>
      <w:pPr>
        <w:pStyle w:val="9"/>
        <w:keepNext w:val="0"/>
        <w:keepLines w:val="0"/>
        <w:pageBreakBefore w:val="0"/>
        <w:kinsoku/>
        <w:overflowPunct/>
        <w:topLinePunct w:val="0"/>
        <w:autoSpaceDE/>
        <w:autoSpaceDN/>
        <w:bidi w:val="0"/>
        <w:adjustRightInd/>
        <w:spacing w:line="590" w:lineRule="exact"/>
        <w:ind w:firstLine="64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符合条件1或条件2，均可被认定为糖尿病。</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rPr>
          <w:rFonts w:hint="default" w:ascii="Times New Roman" w:hAnsi="Times New Roman" w:eastAsia="方正黑体_GBK" w:cs="Times New Roman"/>
          <w:b w:val="0"/>
          <w:bCs w:val="0"/>
          <w:kern w:val="2"/>
          <w:sz w:val="32"/>
          <w:szCs w:val="32"/>
        </w:rPr>
      </w:pPr>
      <w:r>
        <w:rPr>
          <w:rFonts w:hint="default" w:ascii="Times New Roman" w:hAnsi="Times New Roman" w:eastAsia="方正黑体_GBK" w:cs="Times New Roman"/>
          <w:b w:val="0"/>
          <w:bCs w:val="0"/>
          <w:kern w:val="2"/>
          <w:sz w:val="32"/>
          <w:szCs w:val="32"/>
        </w:rPr>
        <w:t>三、慢性肾脏病</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各种病因导致的肾功能不全，近半年内二级及以上医院确诊为慢性肾脏病，出现肾功能减退（GFR＜60ml/min/1.73m</w:t>
      </w:r>
      <w:r>
        <w:rPr>
          <w:rFonts w:hint="default" w:ascii="Times New Roman" w:hAnsi="Times New Roman" w:eastAsia="方正仿宋_GBK" w:cs="Times New Roman"/>
          <w:sz w:val="32"/>
          <w:szCs w:val="32"/>
          <w:vertAlign w:val="superscript"/>
        </w:rPr>
        <w:t>2</w:t>
      </w:r>
      <w:r>
        <w:rPr>
          <w:rFonts w:hint="default" w:ascii="Times New Roman" w:hAnsi="Times New Roman" w:eastAsia="方正仿宋_GBK" w:cs="Times New Roman"/>
          <w:sz w:val="32"/>
          <w:szCs w:val="32"/>
        </w:rPr>
        <w:t>），病程≥3个月。</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rPr>
          <w:rFonts w:hint="default" w:ascii="Times New Roman" w:hAnsi="Times New Roman" w:eastAsia="方正黑体_GBK" w:cs="Times New Roman"/>
          <w:b w:val="0"/>
          <w:bCs w:val="0"/>
          <w:kern w:val="2"/>
          <w:sz w:val="32"/>
          <w:szCs w:val="32"/>
        </w:rPr>
      </w:pPr>
      <w:r>
        <w:rPr>
          <w:rFonts w:hint="default" w:ascii="Times New Roman" w:hAnsi="Times New Roman" w:eastAsia="方正黑体_GBK" w:cs="Times New Roman"/>
          <w:b w:val="0"/>
          <w:bCs w:val="0"/>
          <w:kern w:val="2"/>
          <w:sz w:val="32"/>
          <w:szCs w:val="32"/>
        </w:rPr>
        <w:t>四、肾病综合征</w:t>
      </w:r>
    </w:p>
    <w:p>
      <w:pPr>
        <w:keepNext w:val="0"/>
        <w:keepLines w:val="0"/>
        <w:pageBreakBefore w:val="0"/>
        <w:kinsoku/>
        <w:overflowPunct/>
        <w:topLinePunct w:val="0"/>
        <w:autoSpaceDE/>
        <w:autoSpaceDN/>
        <w:bidi w:val="0"/>
        <w:adjustRightInd/>
        <w:spacing w:line="590" w:lineRule="exact"/>
        <w:ind w:firstLine="640" w:firstLineChars="200"/>
        <w:jc w:val="left"/>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经二级及以上医院确诊为肾病综合征，至少符合下列条件中的两项：尿蛋白≥3.5g/d、血浆蛋白＜30g/L、肾穿刺病理结果提示肾病综合征。</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640" w:firstLineChars="200"/>
        <w:rPr>
          <w:rFonts w:hint="default" w:ascii="Times New Roman" w:hAnsi="Times New Roman" w:eastAsia="方正黑体_GBK" w:cs="Times New Roman"/>
          <w:b w:val="0"/>
          <w:bCs w:val="0"/>
          <w:kern w:val="2"/>
          <w:sz w:val="32"/>
          <w:szCs w:val="32"/>
        </w:rPr>
      </w:pPr>
      <w:r>
        <w:rPr>
          <w:rFonts w:hint="default" w:ascii="Times New Roman" w:hAnsi="Times New Roman" w:eastAsia="方正黑体_GBK" w:cs="Times New Roman"/>
          <w:b w:val="0"/>
          <w:bCs w:val="0"/>
          <w:kern w:val="2"/>
          <w:sz w:val="32"/>
          <w:szCs w:val="32"/>
        </w:rPr>
        <w:t>五、恶性肿瘤</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1．经三级医院或当地最高级别医院住院或门诊确诊为恶性肿瘤（含淋巴瘤、骨髓瘤），且肿瘤未愈、转移、复发或新发，有相应的病理检查或免疫组化检查报告，需继续门诊治疗的。</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2．特殊情况无法取得病理确诊，根据临床症状、影像学检查、肿瘤标志物及多学科会诊后，经三级医院或当地最高级别医院住院诊断为恶性肿瘤，需要门诊治疗的。</w:t>
      </w:r>
    </w:p>
    <w:p>
      <w:pPr>
        <w:keepNext w:val="0"/>
        <w:keepLines w:val="0"/>
        <w:pageBreakBefore w:val="0"/>
        <w:kinsoku/>
        <w:overflowPunct/>
        <w:topLinePunct w:val="0"/>
        <w:autoSpaceDE/>
        <w:autoSpaceDN/>
        <w:bidi w:val="0"/>
        <w:adjustRightIn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3．恶性肿瘤根治术后，需临床严密随访的患者，需同时提供相应的手术治疗记录单和病理报告。</w:t>
      </w:r>
    </w:p>
    <w:p>
      <w:pPr>
        <w:pStyle w:val="3"/>
        <w:keepNext w:val="0"/>
        <w:keepLines w:val="0"/>
        <w:pageBreakBefore w:val="0"/>
        <w:kinsoku/>
        <w:overflowPunct/>
        <w:topLinePunct w:val="0"/>
        <w:autoSpaceDE/>
        <w:autoSpaceDN/>
        <w:bidi w:val="0"/>
        <w:adjustRightInd/>
        <w:snapToGrid/>
        <w:spacing w:line="590" w:lineRule="exact"/>
        <w:ind w:firstLine="640" w:firstLineChars="200"/>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参保18周岁以下儿童患有国家卫生健康委员会办公厅、民政部办公厅、国家医保局办公室、国家中医药局办公室、国家药监局综合司《关于进一步扩大儿童血液病恶性肿瘤救治管理病种范围的通知》（国卫办医函〔2021〕107号）规定的中枢神经系统肿瘤（脑胶质瘤、髓母细胞瘤、颅咽管瘤、室管膜肿瘤）、恶性生殖细胞瘤、头颈胸部肿瘤（鼻咽癌、甲状腺癌、胸膜肺母细胞瘤）、神经纤维瘤病、朗格罕细胞组织细胞增生症、慢性活动性EB病毒感染、免疫性溶血性贫血等12种疾病，可按规定申请享受恶性肿瘤门诊慢特病待遇。</w:t>
      </w:r>
    </w:p>
    <w:p>
      <w:pPr>
        <w:pStyle w:val="2"/>
        <w:keepNext w:val="0"/>
        <w:keepLines w:val="0"/>
        <w:pageBreakBefore w:val="0"/>
        <w:numPr>
          <w:ilvl w:val="1"/>
          <w:numId w:val="0"/>
        </w:numPr>
        <w:kinsoku/>
        <w:overflowPunct/>
        <w:topLinePunct w:val="0"/>
        <w:autoSpaceDE/>
        <w:autoSpaceDN/>
        <w:bidi w:val="0"/>
        <w:adjustRightInd/>
        <w:snapToGrid/>
        <w:spacing w:before="0" w:after="0" w:line="590" w:lineRule="exact"/>
        <w:ind w:firstLine="420" w:firstLineChars="200"/>
        <w:rPr>
          <w:rFonts w:hint="default" w:ascii="Times New Roman" w:hAnsi="Times New Roman" w:cs="Times New Roman"/>
        </w:rPr>
      </w:pPr>
    </w:p>
    <w:sectPr>
      <w:pgSz w:w="11906" w:h="16838"/>
      <w:pgMar w:top="1984" w:right="1587" w:bottom="1984" w:left="1587" w:header="851" w:footer="992" w:gutter="0"/>
      <w:pgNumType w:fmt="decimal"/>
      <w:cols w:space="0" w:num="1"/>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方正仿宋_GBK"/>
    <w:panose1 w:val="00000000000000000000"/>
    <w:charset w:val="00"/>
    <w:family w:val="auto"/>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rPr>
                              <w:sz w:val="30"/>
                              <w:szCs w:val="30"/>
                            </w:rPr>
                            <w:fldChar w:fldCharType="begin"/>
                          </w:r>
                          <w:r>
                            <w:rPr>
                              <w:sz w:val="30"/>
                              <w:szCs w:val="30"/>
                            </w:rPr>
                            <w:instrText xml:space="preserve"> PAGE  \* MERGEFORMAT </w:instrText>
                          </w:r>
                          <w:r>
                            <w:rPr>
                              <w:sz w:val="30"/>
                              <w:szCs w:val="30"/>
                            </w:rPr>
                            <w:fldChar w:fldCharType="separate"/>
                          </w:r>
                          <w:r>
                            <w:rPr>
                              <w:sz w:val="30"/>
                              <w:szCs w:val="30"/>
                            </w:rPr>
                            <w:t>1</w:t>
                          </w:r>
                          <w:r>
                            <w:rPr>
                              <w:sz w:val="30"/>
                              <w:szCs w:val="30"/>
                            </w:rPr>
                            <w:fldChar w:fldCharType="end"/>
                          </w:r>
                          <w:r>
                            <w:rPr>
                              <w:sz w:val="30"/>
                              <w:szCs w:val="30"/>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 </w:t>
                    </w:r>
                    <w:r>
                      <w:rPr>
                        <w:sz w:val="30"/>
                        <w:szCs w:val="30"/>
                      </w:rPr>
                      <w:fldChar w:fldCharType="begin"/>
                    </w:r>
                    <w:r>
                      <w:rPr>
                        <w:sz w:val="30"/>
                        <w:szCs w:val="30"/>
                      </w:rPr>
                      <w:instrText xml:space="preserve"> PAGE  \* MERGEFORMAT </w:instrText>
                    </w:r>
                    <w:r>
                      <w:rPr>
                        <w:sz w:val="30"/>
                        <w:szCs w:val="30"/>
                      </w:rPr>
                      <w:fldChar w:fldCharType="separate"/>
                    </w:r>
                    <w:r>
                      <w:rPr>
                        <w:sz w:val="30"/>
                        <w:szCs w:val="30"/>
                      </w:rPr>
                      <w:t>1</w:t>
                    </w:r>
                    <w:r>
                      <w:rPr>
                        <w:sz w:val="30"/>
                        <w:szCs w:val="30"/>
                      </w:rPr>
                      <w:fldChar w:fldCharType="end"/>
                    </w:r>
                    <w:r>
                      <w:rPr>
                        <w:sz w:val="30"/>
                        <w:szCs w:val="30"/>
                      </w:rPr>
                      <w:t xml:space="preserve"> </w:t>
                    </w:r>
                    <w: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1B0A0C"/>
    <w:multiLevelType w:val="multilevel"/>
    <w:tmpl w:val="531B0A0C"/>
    <w:lvl w:ilvl="0" w:tentative="0">
      <w:start w:val="1"/>
      <w:numFmt w:val="decimal"/>
      <w:suff w:val="space"/>
      <w:lvlText w:val="%1"/>
      <w:lvlJc w:val="left"/>
      <w:pPr>
        <w:ind w:left="431" w:hanging="431"/>
      </w:pPr>
      <w:rPr>
        <w:rFonts w:hint="eastAsia"/>
      </w:rPr>
    </w:lvl>
    <w:lvl w:ilvl="1" w:tentative="0">
      <w:start w:val="1"/>
      <w:numFmt w:val="decimal"/>
      <w:pStyle w:val="2"/>
      <w:suff w:val="space"/>
      <w:lvlText w:val="%1.%2"/>
      <w:lvlJc w:val="left"/>
      <w:pPr>
        <w:ind w:left="431" w:hanging="431"/>
      </w:pPr>
      <w:rPr>
        <w:rFonts w:hint="eastAsia"/>
        <w:b w:val="0"/>
        <w:bCs w:val="0"/>
        <w:i w:val="0"/>
        <w:iCs w:val="0"/>
        <w:caps w:val="0"/>
        <w:smallCaps w:val="0"/>
        <w:strike w:val="0"/>
        <w:dstrike w:val="0"/>
        <w:vanish w:val="0"/>
        <w:spacing w:val="0"/>
        <w:position w:val="0"/>
        <w:u w:val="none"/>
        <w:vertAlign w:val="baseline"/>
      </w:rPr>
    </w:lvl>
    <w:lvl w:ilvl="2" w:tentative="0">
      <w:start w:val="1"/>
      <w:numFmt w:val="decimal"/>
      <w:suff w:val="space"/>
      <w:lvlText w:val="%1.%2.%3"/>
      <w:lvlJc w:val="left"/>
      <w:pPr>
        <w:ind w:left="431" w:hanging="431"/>
      </w:pPr>
      <w:rPr>
        <w:b w:val="0"/>
        <w:bCs w:val="0"/>
        <w:i w:val="0"/>
        <w:iCs w:val="0"/>
        <w:caps w:val="0"/>
        <w:smallCaps w:val="0"/>
        <w:strike w:val="0"/>
        <w:dstrike w:val="0"/>
        <w:vanish w:val="0"/>
        <w:spacing w:val="0"/>
        <w:position w:val="0"/>
        <w:u w:val="none"/>
        <w:vertAlign w:val="baseline"/>
      </w:rPr>
    </w:lvl>
    <w:lvl w:ilvl="3" w:tentative="0">
      <w:start w:val="1"/>
      <w:numFmt w:val="decimal"/>
      <w:lvlText w:val="%1.%2.%3.%4"/>
      <w:lvlJc w:val="left"/>
      <w:pPr>
        <w:ind w:left="431" w:hanging="431"/>
      </w:pPr>
      <w:rPr>
        <w:b w:val="0"/>
        <w:bCs w:val="0"/>
        <w:i w:val="0"/>
        <w:iCs w:val="0"/>
        <w:caps w:val="0"/>
        <w:smallCaps w:val="0"/>
        <w:strike w:val="0"/>
        <w:dstrike w:val="0"/>
        <w:vanish w:val="0"/>
        <w:spacing w:val="0"/>
        <w:position w:val="0"/>
        <w:u w:val="none"/>
        <w:vertAlign w:val="baseline"/>
      </w:rPr>
    </w:lvl>
    <w:lvl w:ilvl="4" w:tentative="0">
      <w:start w:val="1"/>
      <w:numFmt w:val="decimal"/>
      <w:lvlText w:val="%1.%2.%3.%4.%5"/>
      <w:lvlJc w:val="left"/>
      <w:pPr>
        <w:tabs>
          <w:tab w:val="left" w:pos="57"/>
        </w:tabs>
        <w:ind w:left="0" w:firstLine="0"/>
      </w:pPr>
      <w:rPr>
        <w:b w:val="0"/>
        <w:bCs w:val="0"/>
        <w:i w:val="0"/>
        <w:iCs w:val="0"/>
        <w:caps w:val="0"/>
        <w:smallCaps w:val="0"/>
        <w:strike w:val="0"/>
        <w:dstrike w:val="0"/>
        <w:vanish w:val="0"/>
        <w:spacing w:val="0"/>
        <w:position w:val="0"/>
        <w:u w:val="none"/>
        <w:vertAlign w:val="baseline"/>
      </w:rPr>
    </w:lvl>
    <w:lvl w:ilvl="5" w:tentative="0">
      <w:start w:val="1"/>
      <w:numFmt w:val="decimal"/>
      <w:lvlText w:val="%1.%2.%3.%4.%5.%6"/>
      <w:lvlJc w:val="left"/>
      <w:pPr>
        <w:ind w:left="431" w:hanging="431"/>
      </w:pPr>
      <w:rPr>
        <w:b w:val="0"/>
        <w:bCs w:val="0"/>
        <w:i w:val="0"/>
        <w:iCs w:val="0"/>
        <w:caps w:val="0"/>
        <w:smallCaps w:val="0"/>
        <w:strike w:val="0"/>
        <w:dstrike w:val="0"/>
        <w:vanish w:val="0"/>
        <w:spacing w:val="0"/>
        <w:position w:val="0"/>
        <w:u w:val="none"/>
        <w:vertAlign w:val="baseline"/>
      </w:rPr>
    </w:lvl>
    <w:lvl w:ilvl="6" w:tentative="0">
      <w:start w:val="1"/>
      <w:numFmt w:val="decimal"/>
      <w:lvlText w:val="%1.%2.%3.%4.%5.%6.%7"/>
      <w:lvlJc w:val="left"/>
      <w:pPr>
        <w:ind w:left="431" w:hanging="431"/>
      </w:pPr>
      <w:rPr>
        <w:rFonts w:hint="default" w:ascii="Times New Roman" w:hAnsi="Times New Roman" w:cs="Times New Roman"/>
      </w:rPr>
    </w:lvl>
    <w:lvl w:ilvl="7" w:tentative="0">
      <w:start w:val="1"/>
      <w:numFmt w:val="decimal"/>
      <w:lvlText w:val="%1.%2.%3.%4.%5.%6.%7.%8"/>
      <w:lvlJc w:val="left"/>
      <w:pPr>
        <w:ind w:left="431" w:hanging="431"/>
      </w:pPr>
      <w:rPr>
        <w:rFonts w:hint="eastAsia"/>
        <w:b w:val="0"/>
        <w:bCs w:val="0"/>
        <w:i w:val="0"/>
        <w:iCs w:val="0"/>
        <w:caps w:val="0"/>
        <w:smallCaps w:val="0"/>
        <w:strike w:val="0"/>
        <w:dstrike w:val="0"/>
        <w:vanish w:val="0"/>
        <w:spacing w:val="0"/>
        <w:position w:val="0"/>
        <w:u w:val="none"/>
        <w:vertAlign w:val="baseline"/>
      </w:rPr>
    </w:lvl>
    <w:lvl w:ilvl="8" w:tentative="0">
      <w:start w:val="1"/>
      <w:numFmt w:val="decimal"/>
      <w:lvlText w:val="%1.%2.%3.%4.%5.%6.%7.%8.%9"/>
      <w:lvlJc w:val="left"/>
      <w:pPr>
        <w:ind w:left="431" w:hanging="431"/>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4ZTM1OTBkNDc4NTI4NzI2NDc5OGJiM2E2NzM3ZTEifQ=="/>
  </w:docVars>
  <w:rsids>
    <w:rsidRoot w:val="7B3F5F1A"/>
    <w:rsid w:val="0008330F"/>
    <w:rsid w:val="000D1634"/>
    <w:rsid w:val="00126BAB"/>
    <w:rsid w:val="0019391B"/>
    <w:rsid w:val="001A616C"/>
    <w:rsid w:val="001E3ED1"/>
    <w:rsid w:val="00271A2C"/>
    <w:rsid w:val="00281610"/>
    <w:rsid w:val="002B3D35"/>
    <w:rsid w:val="0033129C"/>
    <w:rsid w:val="003A0A3F"/>
    <w:rsid w:val="00407724"/>
    <w:rsid w:val="00461D8D"/>
    <w:rsid w:val="004B5F91"/>
    <w:rsid w:val="0052338C"/>
    <w:rsid w:val="00532686"/>
    <w:rsid w:val="00594CBA"/>
    <w:rsid w:val="005A3B74"/>
    <w:rsid w:val="006836BE"/>
    <w:rsid w:val="006E51F5"/>
    <w:rsid w:val="007211A8"/>
    <w:rsid w:val="00790ACB"/>
    <w:rsid w:val="00791BF4"/>
    <w:rsid w:val="007A08B2"/>
    <w:rsid w:val="00831196"/>
    <w:rsid w:val="00867237"/>
    <w:rsid w:val="008F2A41"/>
    <w:rsid w:val="009060C1"/>
    <w:rsid w:val="00962428"/>
    <w:rsid w:val="009C49D4"/>
    <w:rsid w:val="00A6529C"/>
    <w:rsid w:val="00AD585A"/>
    <w:rsid w:val="00B342B9"/>
    <w:rsid w:val="00B440E7"/>
    <w:rsid w:val="00C95E5F"/>
    <w:rsid w:val="00CA52FB"/>
    <w:rsid w:val="00D53349"/>
    <w:rsid w:val="00E909FF"/>
    <w:rsid w:val="00F22251"/>
    <w:rsid w:val="1FCED74F"/>
    <w:rsid w:val="35BF9A7B"/>
    <w:rsid w:val="3E5F2F25"/>
    <w:rsid w:val="53FC569F"/>
    <w:rsid w:val="5D3F3E7C"/>
    <w:rsid w:val="5FF905A9"/>
    <w:rsid w:val="6FDB608A"/>
    <w:rsid w:val="7B3F5F1A"/>
    <w:rsid w:val="8F2FFEB9"/>
    <w:rsid w:val="E3BFA8A8"/>
    <w:rsid w:val="E7D7740B"/>
    <w:rsid w:val="E9DEF32A"/>
    <w:rsid w:val="EF753E31"/>
    <w:rsid w:val="FEEE88F9"/>
    <w:rsid w:val="FEF10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简体" w:cs="方正仿宋简体"/>
      <w:kern w:val="2"/>
      <w:sz w:val="32"/>
      <w:szCs w:val="32"/>
      <w:lang w:val="en-US" w:eastAsia="zh-CN" w:bidi="ar-SA"/>
    </w:rPr>
  </w:style>
  <w:style w:type="paragraph" w:styleId="2">
    <w:name w:val="heading 2"/>
    <w:basedOn w:val="1"/>
    <w:next w:val="1"/>
    <w:qFormat/>
    <w:uiPriority w:val="9"/>
    <w:pPr>
      <w:numPr>
        <w:ilvl w:val="1"/>
        <w:numId w:val="1"/>
      </w:numPr>
      <w:snapToGrid w:val="0"/>
      <w:spacing w:before="120" w:after="120"/>
      <w:ind w:firstLine="0"/>
      <w:jc w:val="left"/>
      <w:outlineLvl w:val="1"/>
    </w:pPr>
    <w:rPr>
      <w:rFonts w:ascii="黑体" w:hAnsi="黑体" w:eastAsia="黑体" w:cs="Times New Roman"/>
      <w:kern w:val="0"/>
      <w:sz w:val="21"/>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link w:val="10"/>
    <w:qFormat/>
    <w:uiPriority w:val="0"/>
    <w:pPr>
      <w:tabs>
        <w:tab w:val="center" w:pos="4153"/>
        <w:tab w:val="right" w:pos="8306"/>
      </w:tabs>
      <w:snapToGrid w:val="0"/>
      <w:jc w:val="center"/>
    </w:pPr>
    <w:rPr>
      <w:sz w:val="18"/>
      <w:szCs w:val="18"/>
    </w:rPr>
  </w:style>
  <w:style w:type="paragraph" w:styleId="5">
    <w:name w:val="HTML Preformatted"/>
    <w:basedOn w:val="1"/>
    <w:link w:val="11"/>
    <w:qFormat/>
    <w:uiPriority w:val="0"/>
    <w:rPr>
      <w:rFonts w:ascii="Courier New" w:hAnsi="Courier New" w:cs="Courier New"/>
      <w:sz w:val="20"/>
      <w:szCs w:val="20"/>
    </w:rPr>
  </w:style>
  <w:style w:type="paragraph" w:styleId="6">
    <w:name w:val="Normal (Web)"/>
    <w:basedOn w:val="1"/>
    <w:qFormat/>
    <w:uiPriority w:val="0"/>
    <w:pPr>
      <w:spacing w:beforeAutospacing="1" w:afterAutospacing="1"/>
      <w:jc w:val="left"/>
    </w:pPr>
    <w:rPr>
      <w:rFonts w:cs="Times New Roman"/>
      <w:kern w:val="0"/>
      <w:sz w:val="24"/>
    </w:rPr>
  </w:style>
  <w:style w:type="paragraph" w:customStyle="1" w:styleId="9">
    <w:name w:val="首行缩进"/>
    <w:basedOn w:val="1"/>
    <w:qFormat/>
    <w:uiPriority w:val="0"/>
    <w:pPr>
      <w:suppressAutoHyphens/>
      <w:spacing w:line="360" w:lineRule="auto"/>
      <w:ind w:firstLine="480" w:firstLineChars="200"/>
    </w:pPr>
    <w:rPr>
      <w:rFonts w:ascii="宋体" w:hAnsi="宋体" w:eastAsia="宋体" w:cs="宋体"/>
      <w:kern w:val="0"/>
      <w:sz w:val="24"/>
      <w:szCs w:val="22"/>
    </w:rPr>
  </w:style>
  <w:style w:type="character" w:customStyle="1" w:styleId="10">
    <w:name w:val="页眉 字符"/>
    <w:basedOn w:val="8"/>
    <w:link w:val="4"/>
    <w:qFormat/>
    <w:uiPriority w:val="0"/>
    <w:rPr>
      <w:rFonts w:eastAsia="方正仿宋简体" w:cs="方正仿宋简体"/>
      <w:kern w:val="2"/>
      <w:sz w:val="18"/>
      <w:szCs w:val="18"/>
    </w:rPr>
  </w:style>
  <w:style w:type="character" w:customStyle="1" w:styleId="11">
    <w:name w:val="HTML 预设格式 字符"/>
    <w:basedOn w:val="8"/>
    <w:link w:val="5"/>
    <w:qFormat/>
    <w:uiPriority w:val="0"/>
    <w:rPr>
      <w:rFonts w:ascii="Courier New" w:hAnsi="Courier New" w:eastAsia="方正仿宋简体" w:cs="Courier New"/>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4238</Words>
  <Characters>4529</Characters>
  <Lines>34</Lines>
  <Paragraphs>9</Paragraphs>
  <TotalTime>6</TotalTime>
  <ScaleCrop>false</ScaleCrop>
  <LinksUpToDate>false</LinksUpToDate>
  <CharactersWithSpaces>4587</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2024-09-11T05:46:00Z</dcterms:created>
  <dc:creator>kylin</dc:creator>
  <cp:lastModifiedBy>周媛</cp:lastModifiedBy>
  <cp:lastPrinted>2024-09-21T01:35:00Z</cp:lastPrinted>
  <dcterms:modified xsi:type="dcterms:W3CDTF">2025-09-02T02:45:48Z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4724FADE5B394F289D1CAC23A515287B_12</vt:lpwstr>
  </property>
</Properties>
</file>