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pacing w:beforeAutospacing="0" w:afterAutospacing="0" w:line="240" w:lineRule="auto"/>
        <w:jc w:val="center"/>
        <w:textAlignment w:val="bottom"/>
        <w:rPr>
          <w:rFonts w:hint="default" w:ascii="Times New Roman" w:hAnsi="Times New Roman" w:eastAsia="方正小标宋_GBK" w:cs="Times New Roman"/>
          <w:sz w:val="44"/>
          <w:szCs w:val="44"/>
        </w:rPr>
      </w:pPr>
    </w:p>
    <w:p>
      <w:pPr>
        <w:keepNext w:val="0"/>
        <w:keepLines w:val="0"/>
        <w:pageBreakBefore w:val="0"/>
        <w:kinsoku/>
        <w:wordWrap/>
        <w:overflowPunct/>
        <w:topLinePunct w:val="0"/>
        <w:autoSpaceDE/>
        <w:autoSpaceDN/>
        <w:bidi w:val="0"/>
        <w:adjustRightInd/>
        <w:spacing w:beforeAutospacing="0" w:afterAutospacing="0" w:line="240" w:lineRule="auto"/>
        <w:jc w:val="center"/>
        <w:textAlignment w:val="bottom"/>
        <w:rPr>
          <w:rFonts w:hint="default" w:ascii="Times New Roman" w:hAnsi="Times New Roman" w:eastAsia="方正小标宋_GBK" w:cs="Times New Roman"/>
          <w:sz w:val="44"/>
          <w:szCs w:val="44"/>
        </w:rPr>
      </w:pPr>
    </w:p>
    <w:p>
      <w:pPr>
        <w:keepNext w:val="0"/>
        <w:keepLines w:val="0"/>
        <w:pageBreakBefore w:val="0"/>
        <w:kinsoku/>
        <w:wordWrap/>
        <w:overflowPunct/>
        <w:topLinePunct w:val="0"/>
        <w:autoSpaceDE/>
        <w:autoSpaceDN/>
        <w:bidi w:val="0"/>
        <w:adjustRightInd/>
        <w:snapToGrid/>
        <w:spacing w:beforeAutospacing="0" w:afterAutospacing="0" w:line="590" w:lineRule="exact"/>
        <w:jc w:val="center"/>
        <w:textAlignment w:val="bottom"/>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关于规范整合临床量表评估等医疗服务价格项目的通知</w:t>
      </w:r>
    </w:p>
    <w:p>
      <w:pPr>
        <w:keepNext w:val="0"/>
        <w:keepLines w:val="0"/>
        <w:pageBreakBefore w:val="0"/>
        <w:kinsoku/>
        <w:wordWrap/>
        <w:overflowPunct/>
        <w:topLinePunct w:val="0"/>
        <w:autoSpaceDE/>
        <w:autoSpaceDN/>
        <w:bidi w:val="0"/>
        <w:adjustRightInd/>
        <w:snapToGrid/>
        <w:spacing w:beforeAutospacing="0" w:afterAutospacing="0" w:line="590" w:lineRule="exact"/>
        <w:jc w:val="center"/>
        <w:textAlignment w:val="bottom"/>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池医保秘〔</w:t>
      </w:r>
      <w:r>
        <w:rPr>
          <w:rFonts w:hint="default" w:ascii="Times New Roman" w:hAnsi="Times New Roman" w:eastAsia="方正仿宋_GBK" w:cs="Times New Roman"/>
          <w:sz w:val="32"/>
          <w:szCs w:val="32"/>
        </w:rPr>
        <w:t>20</w:t>
      </w:r>
      <w:r>
        <w:rPr>
          <w:rFonts w:hint="default" w:ascii="Times New Roman" w:hAnsi="Times New Roman" w:eastAsia="方正仿宋_GBK" w:cs="Times New Roman"/>
          <w:sz w:val="32"/>
          <w:szCs w:val="32"/>
          <w:lang w:val="en-US" w:eastAsia="zh-CN"/>
        </w:rPr>
        <w:t>25</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14</w:t>
      </w:r>
      <w:r>
        <w:rPr>
          <w:rFonts w:hint="default" w:ascii="Times New Roman" w:hAnsi="Times New Roman" w:eastAsia="方正仿宋_GBK" w:cs="Times New Roman"/>
          <w:sz w:val="32"/>
          <w:szCs w:val="32"/>
        </w:rPr>
        <w:t>号</w:t>
      </w:r>
    </w:p>
    <w:p>
      <w:pPr>
        <w:keepNext w:val="0"/>
        <w:keepLines w:val="0"/>
        <w:pageBreakBefore w:val="0"/>
        <w:kinsoku/>
        <w:wordWrap/>
        <w:overflowPunct/>
        <w:topLinePunct w:val="0"/>
        <w:autoSpaceDE/>
        <w:autoSpaceDN/>
        <w:bidi w:val="0"/>
        <w:adjustRightInd/>
        <w:snapToGrid/>
        <w:spacing w:beforeAutospacing="0" w:afterAutospacing="0" w:line="590" w:lineRule="exact"/>
        <w:jc w:val="lef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napToGrid/>
        <w:spacing w:beforeAutospacing="0" w:afterAutospacing="0" w:line="59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各县（区）医疗保障局，九华山风景区社会保障局、发展规划处，市医保中心，市属公立医疗机构：</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根据《安徽省医保局关于规范整合临床量表评估等医疗服务价格项目的通知》（皖医保发〔2025〕7号）要求，现就规范整合我市现行临床量表评估等医疗服务价格项目有关事项通知如下：</w:t>
      </w:r>
    </w:p>
    <w:p>
      <w:pPr>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一、规范价格项目</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shd w:val="clear" w:color="auto" w:fill="FFFFFF"/>
        </w:rPr>
        <w:t>规范整合</w:t>
      </w:r>
      <w:r>
        <w:rPr>
          <w:rFonts w:hint="default" w:ascii="Times New Roman" w:hAnsi="Times New Roman" w:eastAsia="方正仿宋_GBK" w:cs="Times New Roman"/>
          <w:sz w:val="32"/>
          <w:szCs w:val="32"/>
        </w:rPr>
        <w:t>临床量表评估类项目2项（附件1），器官移植手术类项目12项（附件2），</w:t>
      </w:r>
      <w:r>
        <w:rPr>
          <w:rFonts w:hint="default" w:ascii="Times New Roman" w:hAnsi="Times New Roman" w:eastAsia="方正仿宋_GBK" w:cs="Times New Roman"/>
          <w:sz w:val="32"/>
          <w:szCs w:val="32"/>
          <w:shd w:val="clear" w:color="auto" w:fill="FFFFFF"/>
        </w:rPr>
        <w:t>中医外治类项目18项（附件3），中医针法类项目10项（附件4），中医灸法、拔罐、推拿类项目18项（附件5），废止“精神科A类量表测查”“心肺移植术”“普通针刺”等192个医疗服务价格项目（附件6），整合后项目与我市原项目的映射关系见附件7</w:t>
      </w:r>
      <w:r>
        <w:rPr>
          <w:rFonts w:hint="default" w:ascii="Times New Roman" w:hAnsi="Times New Roman" w:eastAsia="方正仿宋_GBK" w:cs="Times New Roman"/>
          <w:sz w:val="32"/>
          <w:szCs w:val="32"/>
        </w:rPr>
        <w:t>。</w:t>
      </w:r>
    </w:p>
    <w:p>
      <w:pPr>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二、明确医保支付范围</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将“临床量表评估（自评）”等49个价格项目纳入医保支付范围，其中，“肝脏移植术”等47个项目按照甲类管理，“中医熏洗”等2个项目按照乙类管理，“砭石疗法”等11个项目按照丙类管理。</w:t>
      </w:r>
    </w:p>
    <w:p>
      <w:pPr>
        <w:keepNext w:val="0"/>
        <w:keepLines w:val="0"/>
        <w:pageBreakBefore w:val="0"/>
        <w:widowControl/>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三、有关要</w:t>
      </w:r>
      <w:bookmarkStart w:id="8" w:name="_GoBack"/>
      <w:bookmarkEnd w:id="8"/>
      <w:r>
        <w:rPr>
          <w:rFonts w:hint="default" w:ascii="方正黑体_GBK" w:hAnsi="方正黑体_GBK" w:eastAsia="方正黑体_GBK" w:cs="方正黑体_GBK"/>
          <w:sz w:val="32"/>
          <w:szCs w:val="32"/>
        </w:rPr>
        <w:t>求</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（一）规范整合后的医疗服务项目价格为</w:t>
      </w:r>
      <w:r>
        <w:rPr>
          <w:rFonts w:hint="default" w:ascii="Times New Roman" w:hAnsi="Times New Roman" w:eastAsia="方正仿宋_GBK" w:cs="Times New Roman"/>
          <w:sz w:val="32"/>
          <w:szCs w:val="32"/>
          <w:shd w:val="clear" w:color="auto" w:fill="FFFFFF"/>
        </w:rPr>
        <w:t>全市公立医疗机构最高政府指导价</w:t>
      </w:r>
      <w:r>
        <w:rPr>
          <w:rFonts w:hint="default" w:ascii="Times New Roman" w:hAnsi="Times New Roman" w:eastAsia="方正仿宋_GBK" w:cs="Times New Roman"/>
          <w:sz w:val="32"/>
          <w:szCs w:val="32"/>
        </w:rPr>
        <w:t>。项目所标注价格为医保基金最高支付标准。</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（二）各有关单位要高度重视，做好部门协调，及时维护</w:t>
      </w:r>
    </w:p>
    <w:p>
      <w:pPr>
        <w:keepNext w:val="0"/>
        <w:keepLines w:val="0"/>
        <w:pageBreakBefore w:val="0"/>
        <w:kinsoku/>
        <w:wordWrap/>
        <w:overflowPunct/>
        <w:topLinePunct w:val="0"/>
        <w:autoSpaceDE/>
        <w:autoSpaceDN/>
        <w:bidi w:val="0"/>
        <w:adjustRightInd/>
        <w:snapToGrid/>
        <w:spacing w:beforeAutospacing="0" w:afterAutospacing="0"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信息系统目录，指导各医疗机构做好政策落地实施。</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（三）各医疗机构要严格执行规范后的医疗服务价格项目，按规定执行明码标价和医疗费用明细清单制度，通过电子显示屏等多种方式向患者公示医疗服务价格，做好宣传解读工作，自觉接受社会监督。</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（四）本通知自2025年6月1日起执行。执行过程中遇到问题，及时向市医保局反馈。</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napToGrid/>
        <w:spacing w:beforeAutospacing="0" w:afterAutospacing="0"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附件：1．整合后临床量表评估类医疗服务价格项目表</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2．整合后器官移植手术类医疗服务价格项目表</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3．整合后中医外治类医疗服务价格项目表</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4．整合后中医针法类医疗服务价格项目表</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5．整合后中医灸法、拔罐、推拿类医疗服务价格</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2080" w:firstLineChars="65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项目表</w:t>
      </w:r>
    </w:p>
    <w:p>
      <w:pPr>
        <w:keepNext w:val="0"/>
        <w:keepLines w:val="0"/>
        <w:pageBreakBefore w:val="0"/>
        <w:kinsoku/>
        <w:wordWrap/>
        <w:overflowPunct/>
        <w:topLinePunct w:val="0"/>
        <w:autoSpaceDE/>
        <w:autoSpaceDN/>
        <w:bidi w:val="0"/>
        <w:adjustRightInd/>
        <w:snapToGrid/>
        <w:spacing w:beforeAutospacing="0" w:afterAutospacing="0"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6．废止医疗服务价格项目表</w:t>
      </w:r>
    </w:p>
    <w:p>
      <w:pPr>
        <w:keepNext w:val="0"/>
        <w:keepLines w:val="0"/>
        <w:pageBreakBefore w:val="0"/>
        <w:widowControl/>
        <w:kinsoku/>
        <w:wordWrap/>
        <w:overflowPunct/>
        <w:topLinePunct w:val="0"/>
        <w:autoSpaceDE/>
        <w:autoSpaceDN/>
        <w:bidi w:val="0"/>
        <w:adjustRightInd/>
        <w:snapToGrid/>
        <w:spacing w:beforeAutospacing="0" w:afterAutospacing="0"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7．整合后医疗服务价格项目映射关系表</w:t>
      </w: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rPr>
          <w:rFonts w:hint="default" w:ascii="Times New Roman" w:hAnsi="Times New Roman" w:eastAsia="方正仿宋_GBK" w:cs="Times New Roman"/>
          <w:sz w:val="32"/>
          <w:szCs w:val="32"/>
          <w:shd w:val="clear" w:color="auto" w:fill="FFFFFF"/>
        </w:rPr>
      </w:pPr>
      <w:r>
        <w:rPr>
          <w:rFonts w:hint="default" w:ascii="Times New Roman" w:hAnsi="Times New Roman" w:eastAsia="方正仿宋_GBK" w:cs="Times New Roman"/>
          <w:sz w:val="32"/>
          <w:szCs w:val="32"/>
          <w:shd w:val="clear" w:color="auto" w:fill="FFFFFF"/>
        </w:rPr>
        <w:t xml:space="preserve">    </w:t>
      </w:r>
    </w:p>
    <w:p>
      <w:pPr>
        <w:pStyle w:val="6"/>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ind w:firstLine="640" w:firstLineChars="200"/>
        <w:rPr>
          <w:rFonts w:hint="default" w:ascii="Times New Roman" w:hAnsi="Times New Roman" w:eastAsia="方正仿宋_GBK" w:cs="Times New Roman"/>
          <w:sz w:val="32"/>
          <w:szCs w:val="32"/>
          <w:shd w:val="clear" w:color="auto" w:fill="FFFFFF"/>
        </w:rPr>
      </w:pPr>
    </w:p>
    <w:p>
      <w:pPr>
        <w:keepNext w:val="0"/>
        <w:keepLines w:val="0"/>
        <w:pageBreakBefore w:val="0"/>
        <w:kinsoku/>
        <w:wordWrap/>
        <w:overflowPunct/>
        <w:topLinePunct w:val="0"/>
        <w:autoSpaceDE/>
        <w:autoSpaceDN/>
        <w:bidi w:val="0"/>
        <w:adjustRightInd/>
        <w:snapToGrid/>
        <w:spacing w:beforeAutospacing="0" w:afterAutospacing="0" w:line="590" w:lineRule="exact"/>
        <w:jc w:val="right"/>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池州市医疗保障局                                        2025年5月</w:t>
      </w:r>
      <w:r>
        <w:rPr>
          <w:rFonts w:hint="default" w:ascii="Times New Roman" w:hAnsi="Times New Roman" w:eastAsia="方正仿宋_GBK" w:cs="Times New Roman"/>
          <w:sz w:val="32"/>
          <w:szCs w:val="32"/>
          <w:lang w:val="en-US" w:eastAsia="zh-CN"/>
        </w:rPr>
        <w:t>20</w:t>
      </w:r>
      <w:r>
        <w:rPr>
          <w:rFonts w:hint="default" w:ascii="Times New Roman" w:hAnsi="Times New Roman" w:eastAsia="方正仿宋_GBK" w:cs="Times New Roman"/>
          <w:sz w:val="32"/>
          <w:szCs w:val="32"/>
        </w:rPr>
        <w:t>日</w:t>
      </w:r>
    </w:p>
    <w:p>
      <w:pPr>
        <w:pStyle w:val="10"/>
        <w:keepNext w:val="0"/>
        <w:keepLines w:val="0"/>
        <w:pageBreakBefore w:val="0"/>
        <w:tabs>
          <w:tab w:val="left" w:pos="993"/>
        </w:tabs>
        <w:kinsoku/>
        <w:wordWrap/>
        <w:overflowPunct/>
        <w:topLinePunct w:val="0"/>
        <w:autoSpaceDE/>
        <w:autoSpaceDN/>
        <w:bidi w:val="0"/>
        <w:adjustRightInd/>
        <w:snapToGrid w:val="0"/>
        <w:spacing w:beforeAutospacing="0" w:afterAutospacing="0" w:line="240" w:lineRule="auto"/>
        <w:jc w:val="right"/>
        <w:rPr>
          <w:rFonts w:hint="default" w:ascii="Times New Roman" w:hAnsi="Times New Roman" w:eastAsia="仿宋_GB2312" w:cs="Times New Roman"/>
          <w:color w:val="000000" w:themeColor="text1"/>
          <w:sz w:val="28"/>
          <w:szCs w:val="28"/>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640" w:firstLineChars="200"/>
        <w:rPr>
          <w:rFonts w:hint="default" w:ascii="Times New Roman" w:hAnsi="Times New Roman" w:eastAsia="仿宋_GB2312"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rPr>
          <w:rFonts w:hint="default" w:ascii="Times New Roman" w:hAnsi="Times New Roman" w:eastAsia="仿宋_GB2312" w:cs="Times New Roman"/>
          <w:sz w:val="32"/>
          <w:szCs w:val="32"/>
          <w:shd w:val="clear" w:color="auto" w:fill="FFFFFF"/>
        </w:rPr>
        <w:sectPr>
          <w:headerReference r:id="rId3" w:type="default"/>
          <w:footerReference r:id="rId4" w:type="default"/>
          <w:pgSz w:w="11906" w:h="16838"/>
          <w:pgMar w:top="1985" w:right="1588" w:bottom="1985" w:left="1588" w:header="851" w:footer="992" w:gutter="0"/>
          <w:pgNumType w:fmt="decimal"/>
          <w:cols w:space="425" w:num="1"/>
          <w:docGrid w:type="lines" w:linePitch="312" w:charSpace="0"/>
        </w:sect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附件1</w:t>
      </w:r>
    </w:p>
    <w:p>
      <w:pPr>
        <w:keepNext w:val="0"/>
        <w:keepLines w:val="0"/>
        <w:pageBreakBefore w:val="0"/>
        <w:kinsoku/>
        <w:wordWrap/>
        <w:overflowPunct/>
        <w:topLinePunct w:val="0"/>
        <w:autoSpaceDE/>
        <w:autoSpaceDN/>
        <w:bidi w:val="0"/>
        <w:adjustRightInd/>
        <w:spacing w:beforeAutospacing="0" w:afterAutospacing="0" w:line="240" w:lineRule="auto"/>
        <w:ind w:firstLine="880" w:firstLineChars="200"/>
        <w:jc w:val="center"/>
        <w:rPr>
          <w:rFonts w:hint="default" w:ascii="Times New Roman" w:hAnsi="Times New Roman" w:eastAsia="方正小标宋_GBK" w:cs="Times New Roman"/>
          <w:sz w:val="44"/>
          <w:szCs w:val="44"/>
        </w:rPr>
      </w:pPr>
      <w:bookmarkStart w:id="0" w:name="OLE_LINK3"/>
      <w:r>
        <w:rPr>
          <w:rFonts w:hint="default" w:ascii="Times New Roman" w:hAnsi="Times New Roman" w:eastAsia="方正小标宋_GBK" w:cs="Times New Roman"/>
          <w:sz w:val="44"/>
          <w:szCs w:val="44"/>
        </w:rPr>
        <w:t>整合后</w:t>
      </w:r>
      <w:bookmarkStart w:id="1" w:name="OLE_LINK1"/>
      <w:r>
        <w:rPr>
          <w:rFonts w:hint="default" w:ascii="Times New Roman" w:hAnsi="Times New Roman" w:eastAsia="方正小标宋_GBK" w:cs="Times New Roman"/>
          <w:sz w:val="44"/>
          <w:szCs w:val="44"/>
        </w:rPr>
        <w:t>临床量表评估</w:t>
      </w:r>
      <w:bookmarkEnd w:id="1"/>
      <w:r>
        <w:rPr>
          <w:rFonts w:hint="default" w:ascii="Times New Roman" w:hAnsi="Times New Roman" w:eastAsia="方正小标宋_GBK" w:cs="Times New Roman"/>
          <w:sz w:val="44"/>
          <w:szCs w:val="44"/>
        </w:rPr>
        <w:t>类医疗服务价格项目表</w:t>
      </w:r>
    </w:p>
    <w:bookmarkEnd w:id="0"/>
    <w:p>
      <w:pPr>
        <w:keepNext w:val="0"/>
        <w:keepLines w:val="0"/>
        <w:pageBreakBefore w:val="0"/>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b/>
          <w:bCs/>
          <w:kern w:val="0"/>
          <w:sz w:val="32"/>
          <w:szCs w:val="32"/>
        </w:rPr>
      </w:pPr>
      <w:r>
        <w:rPr>
          <w:rFonts w:hint="default" w:ascii="Times New Roman" w:hAnsi="Times New Roman" w:eastAsia="方正仿宋_GBK" w:cs="Times New Roman"/>
          <w:b/>
          <w:bCs/>
          <w:kern w:val="0"/>
          <w:sz w:val="32"/>
          <w:szCs w:val="32"/>
        </w:rPr>
        <w:t>使用说明：</w:t>
      </w:r>
    </w:p>
    <w:p>
      <w:pPr>
        <w:keepNext w:val="0"/>
        <w:keepLines w:val="0"/>
        <w:pageBreakBefore w:val="0"/>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1.“临床量表评估”涵盖西医和中医的各个临床专业，评估目的是为临床诊断、辅助诊断或治疗效果评价提供支持。以临床试验、流行病学调查、长期随访、科学研究为目的的评估不作为医疗服务价格项目。</w:t>
      </w:r>
    </w:p>
    <w:p>
      <w:pPr>
        <w:keepNext w:val="0"/>
        <w:keepLines w:val="0"/>
        <w:pageBreakBefore w:val="0"/>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 xml:space="preserve">2.临床量表是指卫生行业主管部门相关技术规范等准许使用的临床量表。按照以服务产出为导向的原则，以“得出评估结论”作为一个完整计价单元，医疗机构为得出准确结论需要应用1份或若干份量表的，按照评估条目的总数计费。                                                      </w:t>
      </w:r>
    </w:p>
    <w:p>
      <w:pPr>
        <w:keepNext w:val="0"/>
        <w:keepLines w:val="0"/>
        <w:pageBreakBefore w:val="0"/>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3.“评估条目”是指临床评估量表中规范列出、需要作答的具体问题。评估条目属于选项式的，按1条评估条目计算；评估条目属于论述、记忆、描述等非选项式的，按评估条目2条计算。</w:t>
      </w:r>
    </w:p>
    <w:p>
      <w:pPr>
        <w:keepNext w:val="0"/>
        <w:keepLines w:val="0"/>
        <w:pageBreakBefore w:val="0"/>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 xml:space="preserve">4.“基本物质消耗”包括但不限于临床量表的工本费，以及临床量表、评估设备以及评估软件的版权、开发、购买等的成本。          </w:t>
      </w:r>
    </w:p>
    <w:p>
      <w:pPr>
        <w:keepNext w:val="0"/>
        <w:keepLines w:val="0"/>
        <w:pageBreakBefore w:val="0"/>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5.“加收项”指按评估条目数量分档计价。医疗机构按照实际评估条目总数所对应档次的价格标准收费,不得逐档累计、重复收费。</w:t>
      </w:r>
    </w:p>
    <w:p>
      <w:pPr>
        <w:keepNext w:val="0"/>
        <w:keepLines w:val="0"/>
        <w:pageBreakBefore w:val="0"/>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6.“扩展项”指同一项目下以不同方式提供或在不同场景应用时，只扩展价格项目适用范围、不额外加价的一类子项，子项的价格按主项目执行。</w:t>
      </w:r>
    </w:p>
    <w:p>
      <w:pPr>
        <w:pStyle w:val="18"/>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24"/>
          <w:szCs w:val="24"/>
          <w:lang w:eastAsia="zh-CN"/>
        </w:rPr>
      </w:pPr>
      <w:r>
        <w:rPr>
          <w:rFonts w:hint="default" w:ascii="Times New Roman" w:hAnsi="Times New Roman" w:eastAsia="方正仿宋_GBK" w:cs="Times New Roman"/>
          <w:kern w:val="0"/>
          <w:sz w:val="32"/>
          <w:szCs w:val="32"/>
          <w:lang w:eastAsia="zh-CN"/>
        </w:rPr>
        <w:t xml:space="preserve">7.“儿童评估”指以6周岁以下儿童为对象进行的临床量表评估。此类情形下，实际是否有专业评估人员协助，均按“他评”及对应的分档标准计价。周岁的计算方法以法律的相关规定为准。                                                      </w:t>
      </w:r>
      <w:r>
        <w:rPr>
          <w:rFonts w:hint="default" w:ascii="Times New Roman" w:hAnsi="Times New Roman" w:eastAsia="方正仿宋_GBK" w:cs="Times New Roman"/>
          <w:kern w:val="0"/>
          <w:sz w:val="24"/>
          <w:szCs w:val="24"/>
          <w:lang w:eastAsia="zh-CN"/>
        </w:rPr>
        <w:t xml:space="preserve">               </w:t>
      </w:r>
    </w:p>
    <w:tbl>
      <w:tblPr>
        <w:tblStyle w:val="7"/>
        <w:tblW w:w="4998" w:type="pct"/>
        <w:tblInd w:w="0" w:type="dxa"/>
        <w:tblLayout w:type="autofit"/>
        <w:tblCellMar>
          <w:top w:w="0" w:type="dxa"/>
          <w:left w:w="108" w:type="dxa"/>
          <w:bottom w:w="0" w:type="dxa"/>
          <w:right w:w="108" w:type="dxa"/>
        </w:tblCellMar>
      </w:tblPr>
      <w:tblGrid>
        <w:gridCol w:w="335"/>
        <w:gridCol w:w="1464"/>
        <w:gridCol w:w="1413"/>
        <w:gridCol w:w="2174"/>
        <w:gridCol w:w="2115"/>
        <w:gridCol w:w="689"/>
        <w:gridCol w:w="603"/>
        <w:gridCol w:w="603"/>
        <w:gridCol w:w="608"/>
        <w:gridCol w:w="1910"/>
        <w:gridCol w:w="520"/>
        <w:gridCol w:w="543"/>
      </w:tblGrid>
      <w:tr>
        <w:tblPrEx>
          <w:tblCellMar>
            <w:top w:w="0" w:type="dxa"/>
            <w:left w:w="108" w:type="dxa"/>
            <w:bottom w:w="0" w:type="dxa"/>
            <w:right w:w="108" w:type="dxa"/>
          </w:tblCellMar>
        </w:tblPrEx>
        <w:trPr>
          <w:trHeight w:val="332" w:hRule="atLeast"/>
          <w:tblHeader/>
        </w:trPr>
        <w:tc>
          <w:tcPr>
            <w:tcW w:w="1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53"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46"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823"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274"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5"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09"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825" w:hRule="atLeast"/>
          <w:tblHeader/>
        </w:trPr>
        <w:tc>
          <w:tcPr>
            <w:tcW w:w="13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5"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53"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46"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23"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74" w:type="pct"/>
            <w:vMerge w:val="continue"/>
            <w:tcBorders>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4"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09"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065" w:hRule="atLeast"/>
        </w:trPr>
        <w:tc>
          <w:tcPr>
            <w:tcW w:w="138" w:type="pct"/>
            <w:vMerge w:val="restar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011102010010000</w:t>
            </w:r>
          </w:p>
        </w:tc>
        <w:tc>
          <w:tcPr>
            <w:tcW w:w="55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临床量表评估（自评）</w:t>
            </w:r>
          </w:p>
        </w:tc>
        <w:tc>
          <w:tcPr>
            <w:tcW w:w="84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基于患者自主完成的临床量表，对患者生理或心理的功能状态形成评估结论。评估条目总数在（0，20]之间。</w:t>
            </w:r>
          </w:p>
        </w:tc>
        <w:tc>
          <w:tcPr>
            <w:tcW w:w="82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所定价格涵盖完成自评所需的人力资源和基本物质资源消耗。</w:t>
            </w:r>
          </w:p>
        </w:tc>
        <w:tc>
          <w:tcPr>
            <w:tcW w:w="27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14</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13</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12</w:t>
            </w:r>
          </w:p>
        </w:tc>
        <w:tc>
          <w:tcPr>
            <w:tcW w:w="74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不同学科且不重复的临床量表评估可分别计价。</w:t>
            </w:r>
          </w:p>
        </w:tc>
        <w:tc>
          <w:tcPr>
            <w:tcW w:w="20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8" w:type="pct"/>
            <w:vMerge w:val="continue"/>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011102010010001</w:t>
            </w:r>
          </w:p>
        </w:tc>
        <w:tc>
          <w:tcPr>
            <w:tcW w:w="55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临床量表评估（自评）-乙类评估（加收）</w:t>
            </w:r>
          </w:p>
        </w:tc>
        <w:tc>
          <w:tcPr>
            <w:tcW w:w="84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评估条目总数在（20，40]之间。</w:t>
            </w:r>
          </w:p>
        </w:tc>
        <w:tc>
          <w:tcPr>
            <w:tcW w:w="82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p>
        </w:tc>
        <w:tc>
          <w:tcPr>
            <w:tcW w:w="27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4.8</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4.3</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4.1</w:t>
            </w:r>
          </w:p>
        </w:tc>
        <w:tc>
          <w:tcPr>
            <w:tcW w:w="74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p>
        </w:tc>
        <w:tc>
          <w:tcPr>
            <w:tcW w:w="20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bl>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32"/>
          <w:szCs w:val="32"/>
          <w:shd w:val="clear" w:color="auto" w:fill="FFFFFF"/>
        </w:rPr>
        <w:sectPr>
          <w:pgSz w:w="16838" w:h="11906" w:orient="landscape"/>
          <w:pgMar w:top="1588" w:right="1985" w:bottom="1588" w:left="1985" w:header="851" w:footer="992" w:gutter="0"/>
          <w:pgNumType w:fmt="decimal"/>
          <w:cols w:space="425" w:num="1"/>
          <w:docGrid w:type="lines" w:linePitch="312" w:charSpace="0"/>
        </w:sectPr>
      </w:pPr>
    </w:p>
    <w:tbl>
      <w:tblPr>
        <w:tblStyle w:val="7"/>
        <w:tblW w:w="4998" w:type="pct"/>
        <w:tblInd w:w="0" w:type="dxa"/>
        <w:tblLayout w:type="autofit"/>
        <w:tblCellMar>
          <w:top w:w="0" w:type="dxa"/>
          <w:left w:w="108" w:type="dxa"/>
          <w:bottom w:w="0" w:type="dxa"/>
          <w:right w:w="108" w:type="dxa"/>
        </w:tblCellMar>
      </w:tblPr>
      <w:tblGrid>
        <w:gridCol w:w="338"/>
        <w:gridCol w:w="1464"/>
        <w:gridCol w:w="1419"/>
        <w:gridCol w:w="2183"/>
        <w:gridCol w:w="2123"/>
        <w:gridCol w:w="692"/>
        <w:gridCol w:w="606"/>
        <w:gridCol w:w="606"/>
        <w:gridCol w:w="611"/>
        <w:gridCol w:w="1918"/>
        <w:gridCol w:w="421"/>
        <w:gridCol w:w="596"/>
      </w:tblGrid>
      <w:tr>
        <w:tblPrEx>
          <w:tblCellMar>
            <w:top w:w="0" w:type="dxa"/>
            <w:left w:w="108" w:type="dxa"/>
            <w:bottom w:w="0" w:type="dxa"/>
            <w:right w:w="108" w:type="dxa"/>
          </w:tblCellMar>
        </w:tblPrEx>
        <w:trPr>
          <w:trHeight w:val="332" w:hRule="atLeast"/>
          <w:tblHeader/>
        </w:trPr>
        <w:tc>
          <w:tcPr>
            <w:tcW w:w="139"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6"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5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49"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826"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275"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8"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171"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825" w:hRule="atLeast"/>
          <w:tblHeader/>
        </w:trPr>
        <w:tc>
          <w:tcPr>
            <w:tcW w:w="139"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6"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55"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49"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26"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75" w:type="pct"/>
            <w:vMerge w:val="continue"/>
            <w:tcBorders>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7"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71"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3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735" w:hRule="atLeast"/>
        </w:trPr>
        <w:tc>
          <w:tcPr>
            <w:tcW w:w="139"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011102010010002</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临床量表评估（自评）-丙类评估（加收）</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评估条目总数在（40，100]之间。</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14</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13</w:t>
            </w: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12</w:t>
            </w: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9"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011102010010003</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临床量表评估（自评）-丁类评估（加收）</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评估条目总数100条以上。</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24</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22</w:t>
            </w: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20</w:t>
            </w: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9"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011102010010100</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临床量表评估（自评）-应用人工智能辅助的自评（扩展）</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基于患者应用人工智能辅助自主完成的临床量表，对患者生理或心理的功能状态形成评估结论。</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所定价格涵盖完成自评所需的人力资源和基本物质资源消耗。</w:t>
            </w: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按照“自评”及评估条目总数所对应档次的价格标准收费。</w:t>
            </w: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9"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011102010020000</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临床量表评估（他评）</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基于专业评估人员协助患者完成的临床量表，对患者生理或心理的功能状态形成评估结论。评估条目总数在（0，20]之间。</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所定价格涵盖完成他评所需的人力资源和基本物质资源消耗。</w:t>
            </w: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19</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17</w:t>
            </w: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16</w:t>
            </w: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不同学科且不重复的临床量表评估可分别计价。</w:t>
            </w: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9"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011102010020001</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临床量表评估（他评）-乙类评估（加收）</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评估条目总数在（20，40]之间。</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9.5</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8.6</w:t>
            </w: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8.1</w:t>
            </w: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9"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011102010020002</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临床量表评估（他评）-丙类评估（加收）</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评估条目总数在（40，100]之间。</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29</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26</w:t>
            </w: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25</w:t>
            </w: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9"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011102010020003</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临床量表评估（他评）-丁类评估（加收）</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评估条目总数大于100条。</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57</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51</w:t>
            </w: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23"/>
                <w:szCs w:val="23"/>
              </w:rPr>
              <w:t>48</w:t>
            </w: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9"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011102010020100</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临床量表评估（他评）-应用人工智能辅助的他评（扩展）</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基于专业评估人员应用人工智能辅助协助患者完成的临床量表，对患者生理或心理的功能状态形成评估结论。</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所定价格涵盖完成他评所需的人力资源和基本物质资源消耗。</w:t>
            </w: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按照“他评”及评估条目总数所对应档次的价格标准收费。</w:t>
            </w: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r>
        <w:tblPrEx>
          <w:tblCellMar>
            <w:top w:w="0" w:type="dxa"/>
            <w:left w:w="108" w:type="dxa"/>
            <w:bottom w:w="0" w:type="dxa"/>
            <w:right w:w="108" w:type="dxa"/>
          </w:tblCellMar>
        </w:tblPrEx>
        <w:trPr>
          <w:trHeight w:val="657" w:hRule="atLeast"/>
        </w:trPr>
        <w:tc>
          <w:tcPr>
            <w:tcW w:w="139"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011102010020200</w:t>
            </w:r>
          </w:p>
        </w:tc>
        <w:tc>
          <w:tcPr>
            <w:tcW w:w="555"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临床量表评估（他评）-儿童评估（扩展）</w:t>
            </w:r>
          </w:p>
        </w:tc>
        <w:tc>
          <w:tcPr>
            <w:tcW w:w="849"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基于专业评</w:t>
            </w:r>
            <w:r>
              <w:rPr>
                <w:rFonts w:hint="default" w:ascii="Times New Roman" w:hAnsi="Times New Roman" w:eastAsia="方正仿宋_GBK" w:cs="Times New Roman"/>
                <w:spacing w:val="-6"/>
                <w:kern w:val="0"/>
                <w:sz w:val="18"/>
                <w:szCs w:val="18"/>
              </w:rPr>
              <w:t>估人员协助儿童患者完成的临床量表，对患者生理或心理的功</w:t>
            </w:r>
            <w:r>
              <w:rPr>
                <w:rFonts w:hint="default" w:ascii="Times New Roman" w:hAnsi="Times New Roman" w:eastAsia="方正仿宋_GBK" w:cs="Times New Roman"/>
                <w:kern w:val="0"/>
                <w:sz w:val="18"/>
                <w:szCs w:val="18"/>
              </w:rPr>
              <w:t>能状态形成评估结论。</w:t>
            </w:r>
          </w:p>
        </w:tc>
        <w:tc>
          <w:tcPr>
            <w:tcW w:w="826"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所定价格涵盖完成他评所需的人力资源和基本物质资源消耗。</w:t>
            </w:r>
          </w:p>
        </w:tc>
        <w:tc>
          <w:tcPr>
            <w:tcW w:w="275"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24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243"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74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按照</w:t>
            </w:r>
            <w:r>
              <w:rPr>
                <w:rFonts w:hint="default" w:ascii="Times New Roman" w:hAnsi="Times New Roman" w:eastAsia="方正仿宋_GBK" w:cs="Times New Roman"/>
                <w:spacing w:val="-6"/>
                <w:kern w:val="0"/>
                <w:sz w:val="18"/>
                <w:szCs w:val="18"/>
              </w:rPr>
              <w:t>“他评”及评估条目总数所对应档次的价格标准收费。</w:t>
            </w:r>
          </w:p>
        </w:tc>
        <w:tc>
          <w:tcPr>
            <w:tcW w:w="17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诊察费</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附件2</w:t>
      </w:r>
    </w:p>
    <w:p>
      <w:pPr>
        <w:keepNext w:val="0"/>
        <w:keepLines w:val="0"/>
        <w:pageBreakBefore w:val="0"/>
        <w:kinsoku/>
        <w:wordWrap/>
        <w:overflowPunct/>
        <w:topLinePunct w:val="0"/>
        <w:autoSpaceDE/>
        <w:autoSpaceDN/>
        <w:bidi w:val="0"/>
        <w:adjustRightInd/>
        <w:spacing w:beforeAutospacing="0" w:afterAutospacing="0" w:line="240" w:lineRule="auto"/>
        <w:ind w:firstLine="880" w:firstLineChars="200"/>
        <w:jc w:val="center"/>
        <w:rPr>
          <w:rFonts w:hint="default" w:ascii="Times New Roman" w:hAnsi="Times New Roman" w:eastAsia="方正小标宋_GBK" w:cs="Times New Roman"/>
          <w:sz w:val="44"/>
          <w:szCs w:val="44"/>
        </w:rPr>
      </w:pPr>
      <w:bookmarkStart w:id="2" w:name="OLE_LINK4"/>
      <w:r>
        <w:rPr>
          <w:rFonts w:hint="default" w:ascii="Times New Roman" w:hAnsi="Times New Roman" w:eastAsia="方正小标宋_GBK" w:cs="Times New Roman"/>
          <w:sz w:val="44"/>
          <w:szCs w:val="44"/>
        </w:rPr>
        <w:t>整合后</w:t>
      </w:r>
      <w:bookmarkStart w:id="3" w:name="OLE_LINK2"/>
      <w:r>
        <w:rPr>
          <w:rFonts w:hint="default" w:ascii="Times New Roman" w:hAnsi="Times New Roman" w:eastAsia="方正小标宋_GBK" w:cs="Times New Roman"/>
          <w:sz w:val="44"/>
          <w:szCs w:val="44"/>
        </w:rPr>
        <w:t>器官移植手术类</w:t>
      </w:r>
      <w:bookmarkEnd w:id="3"/>
      <w:r>
        <w:rPr>
          <w:rFonts w:hint="default" w:ascii="Times New Roman" w:hAnsi="Times New Roman" w:eastAsia="方正小标宋_GBK" w:cs="Times New Roman"/>
          <w:sz w:val="44"/>
          <w:szCs w:val="44"/>
        </w:rPr>
        <w:t>医疗服务价格项目表</w:t>
      </w:r>
    </w:p>
    <w:bookmarkEnd w:id="2"/>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b/>
          <w:bCs/>
          <w:kern w:val="0"/>
          <w:sz w:val="32"/>
          <w:szCs w:val="32"/>
        </w:rPr>
      </w:pPr>
      <w:r>
        <w:rPr>
          <w:rFonts w:hint="default" w:ascii="Times New Roman" w:hAnsi="Times New Roman" w:eastAsia="方正仿宋_GBK" w:cs="Times New Roman"/>
          <w:b/>
          <w:bCs/>
          <w:kern w:val="0"/>
          <w:sz w:val="32"/>
          <w:szCs w:val="32"/>
        </w:rPr>
        <w:t>使用说明：</w:t>
      </w:r>
    </w:p>
    <w:p>
      <w:pPr>
        <w:keepNext w:val="0"/>
        <w:keepLines w:val="0"/>
        <w:pageBreakBefore w:val="0"/>
        <w:widowControl/>
        <w:numPr>
          <w:ilvl w:val="0"/>
          <w:numId w:val="1"/>
        </w:numPr>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“移植”是指移植医院将供体器官或组织植入受体；“切取”是指合法进行的活体捐献中，移植医院从供体体内取得相应的器官或组织。</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2.“价格构成”指项目价格应涵盖的各类资源消耗，用于确定计价单元的边界，不应作为临床技术标准理解，不是手术实际操作方式、路径、步骤、程序的强制性要求。</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3.“加收项”指同一项目以不同方式提供或在不同场景应用时，确有必要制定差异化收费标准而细分的一类子项。</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4.“扩展项”指同一项目下以不同方式提供或在不同场景应用时，只扩展价格项目适用范围、不额外加价的一类子项，子项的价格按主项目执行。</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5.“儿童”指6周岁及以下。周岁的计算方法以法律的相关规定为准。</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6.“异种器官”指不摘自人体的器官，包括但不限于动物器官、机械器官，以及3D打印等技术人工制造的器官。</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7.“基本物耗”原则上限于不应或不必要与医疗服务项目分割的易耗品，如碘酒、酒精、消毒液、冲洗液、棉花、纱布、普通敷料、帽子、口罩、鞋套、袜套、手套、手术衣、绷带、床垫、各种护垫、各种衬垫、手术巾、治疗巾、普通注射器、压舌板、滑石粉等。基本物耗成本计入项目价格，不另行收费。</w:t>
      </w:r>
    </w:p>
    <w:p>
      <w:pPr>
        <w:keepNext w:val="0"/>
        <w:keepLines w:val="0"/>
        <w:pageBreakBefore w:val="0"/>
        <w:widowControl/>
        <w:kinsoku/>
        <w:wordWrap/>
        <w:overflowPunct/>
        <w:topLinePunct w:val="0"/>
        <w:autoSpaceDE/>
        <w:autoSpaceDN/>
        <w:bidi w:val="0"/>
        <w:adjustRightInd/>
        <w:spacing w:beforeAutospacing="0" w:afterAutospacing="0" w:line="240" w:lineRule="auto"/>
        <w:ind w:left="240" w:hanging="320" w:hangingChars="100"/>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8.手术过程中的具体操作步骤,不另行立项收费;术前指导、手术方案设计等已在手术价格项目的定价中体现,不另行立项收费。</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rPr>
        <w:t>9.合法的活体器官捐献指符合《人体器官移植条例》第十条规定的情形。</w:t>
      </w:r>
    </w:p>
    <w:tbl>
      <w:tblPr>
        <w:tblStyle w:val="7"/>
        <w:tblW w:w="4997" w:type="pct"/>
        <w:tblInd w:w="0" w:type="dxa"/>
        <w:tblLayout w:type="autofit"/>
        <w:tblCellMar>
          <w:top w:w="0" w:type="dxa"/>
          <w:left w:w="108" w:type="dxa"/>
          <w:bottom w:w="0" w:type="dxa"/>
          <w:right w:w="108" w:type="dxa"/>
        </w:tblCellMar>
      </w:tblPr>
      <w:tblGrid>
        <w:gridCol w:w="332"/>
        <w:gridCol w:w="1464"/>
        <w:gridCol w:w="1285"/>
        <w:gridCol w:w="2153"/>
        <w:gridCol w:w="2464"/>
        <w:gridCol w:w="454"/>
        <w:gridCol w:w="599"/>
        <w:gridCol w:w="599"/>
        <w:gridCol w:w="605"/>
        <w:gridCol w:w="1898"/>
        <w:gridCol w:w="464"/>
        <w:gridCol w:w="657"/>
      </w:tblGrid>
      <w:tr>
        <w:tblPrEx>
          <w:tblCellMar>
            <w:top w:w="0" w:type="dxa"/>
            <w:left w:w="108" w:type="dxa"/>
            <w:bottom w:w="0" w:type="dxa"/>
            <w:right w:w="108" w:type="dxa"/>
          </w:tblCellMar>
        </w:tblPrEx>
        <w:trPr>
          <w:trHeight w:val="332" w:hRule="atLeast"/>
          <w:tblHeader/>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5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4"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2"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0"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18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7"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4"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3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5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4" w:type="pct"/>
            <w:vMerge w:val="continue"/>
            <w:tcBorders>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0"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62"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90" w:hRule="atLeast"/>
        </w:trPr>
        <w:tc>
          <w:tcPr>
            <w:tcW w:w="13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013317000010000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心脏移植术</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异体同种心脏移植，实现患者原位心脏切除和供体心脏植入。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所定价格涵盖患者原位心脏切除、供体心脏术前或术中整复、供体心脏植入，以及切开、吻合、关闭、缝合等手术步骤的人力资源和基本物质资源消耗。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19000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17100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16150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735" w:hRule="atLeast"/>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013317000010001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心脏移植术-儿童手术（加收）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异体同种心脏移植，实现儿童患者原位心脏切除和供体心脏植入。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630" w:hRule="atLeast"/>
        </w:trPr>
        <w:tc>
          <w:tcPr>
            <w:tcW w:w="137"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013317000010100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心脏移植术-异种器官（扩展）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异体异种心脏移植，实现患者原位心脏切除和供体心脏植入。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所定价格涵盖患者原位心脏切除、供体心脏术前或术中整复、供体心脏植入，以及切开、吻合、关闭、缝合等手术步骤的人力资源和基本物质资源消耗。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19000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17100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16150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530"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013317000010200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心脏移植术-异位移植（扩展）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异体同种异位心脏移植，实现患者原位心脏切除和供体心脏植入。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所定价格涵盖患者原位心脏切除、供体心脏术前或术中整复、供体心脏植入，以及切开、吻合、关闭、缝合等手术步骤的人力资源和基本物质资源消耗。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19000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17100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16150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505" w:hRule="atLeast"/>
        </w:trPr>
        <w:tc>
          <w:tcPr>
            <w:tcW w:w="137" w:type="pct"/>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013317000020000</w:t>
            </w:r>
          </w:p>
        </w:tc>
        <w:tc>
          <w:tcPr>
            <w:tcW w:w="504"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肝脏移植术</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异体同种肝脏（全肝）移植，实现患者原位肝脏切除和供体肝脏植入。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所定价格涵盖患者原位肝脏切除、供体肝脏术前或术中整复、供体肝脏植入，以及切开、吻合、关闭、缝合等手术步骤的人力资源和基本物质资源消耗。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23750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21375</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20188</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845"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013317000020001</w:t>
            </w:r>
          </w:p>
        </w:tc>
        <w:tc>
          <w:tcPr>
            <w:tcW w:w="504"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肝脏移植术-儿童手术（加收）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异体同种肝脏（全肝）移植，实现儿童患者原位肝脏切除和供体肝脏植入。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880"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013317000020002</w:t>
            </w:r>
          </w:p>
        </w:tc>
        <w:tc>
          <w:tcPr>
            <w:tcW w:w="504"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肝脏移植术-部分肝脏（器官段）移植（加收）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异体同种部分肝脏（器官段）移植，实现患者原位肝脏切除和供体肝脏植入。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460" w:hRule="atLeast"/>
        </w:trPr>
        <w:tc>
          <w:tcPr>
            <w:tcW w:w="137"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013317000020100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肝脏移植术-异种器官（扩展）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异体异种肝脏（全肝）移植，实现患者原位肝脏切除和供体肝脏植入。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所定价格涵盖患者原位肝脏切除、供体肝脏术前或术中整复、供体肝脏植入，以及切开、吻合、关闭、缝合等手术步骤的人力资源和基本物质资源消耗。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23750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21375</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20188</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22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013317000030000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肺脏移植术</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异体同种肺脏（单侧）移植，实现患者原位肺脏切除和供体肺脏植入。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所定价格涵盖患者原位肺脏切除、供体肺脏术前或术中整复、供体肺脏植入，以及切开、吻合、关闭、缝合等手术步骤的人力资源和基本物质资源消耗。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12825</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11543</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10901</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775"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013317000030001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肺脏移植术-儿童手术（加收）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异体同种肺脏（单侧）移植，实现儿童患者原位肺脏切除和供体肺脏植入。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685"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013317000030002</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肺脏移植术-部分肺脏（器官段）移植（加收）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异体同种部分肺脏（器官段）移植，实现患者原位肺脏切除和供体肺脏植入。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400"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013317000030100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肺脏移植术-异种器官（扩展）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异体异种肺脏（单侧）移植，实现患者原位肺脏切除和供体肺脏植入。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所定价格涵盖患者原位肺脏切除、供体肺脏术前或术中整复、供体肺脏植入，以及切开、吻合、关闭、缝合等手术步骤的人力资源和基本物质资源消耗。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12825</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11543</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10901</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240" w:hRule="atLeast"/>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w:t>
            </w: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013317000040000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肾脏移植术</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异体同种肾脏（单侧）移植，实现供体肾脏植入。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所定价格涵盖供体肾脏术前或术中整复、患者原位肾脏处理、供体肾脏植入，以及切开、吻合、关闭、缝合等手术步骤的人力资源和基本物质资源消耗。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5700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5130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4845</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960"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w:t>
            </w: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013317000040001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肾脏移植术-儿童手术（加收）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异体同种肾脏（单侧）移植，实现儿童患者供体肾脏植入。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36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013317000040100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肾脏移植术-异种器官（扩展）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异体异种肾脏（单侧）移植，实现供体肾脏植入。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所定价格涵盖供体肾脏术前或术中整复、患者原位肾脏处理、供体肾脏植入，以及切开、吻合、关闭、缝合等手术步骤的人力资源和基本物质资源消耗。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5700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5130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4845</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30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w:t>
            </w: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013317000050000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小肠移植术</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异体同种小肠（器官段）移植，实现患者原位小肠切除和供体小肠植入。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所定价格涵盖患者原位小肠切除、供体小肠术前或术中整复、供体小肠植入，以及切开、吻合、关闭、缝合等手术步骤的人力资源和基本物质资源消耗。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4275</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3848</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3634</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925"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013317000050001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小肠移植术-儿童手术（加收）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异体同种小肠（器官段）移植，实现儿童患者原位小肠切除和供体小肠植入。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06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013317000050100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小肠移植术-异种器官（扩展）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异体异种小肠（器官段）移植，实现患者原位小肠切除和供体小肠植入。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所定价格涵盖患者原位小肠切除、供体小肠术前或术中整复、供体小肠植入，以及切开、吻合、关闭、缝合等手术步骤的人力资源和基本物质资源消耗。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4275</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3848</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3634</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065" w:hRule="atLeast"/>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6</w:t>
            </w: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013317000060000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胰腺移植术</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异体同种胰腺移植，实现供体胰腺植入。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所定价格涵盖供体胰腺术前或术中整复、患者原位胰腺处理、供体胰腺植入，以及切开、吻合、关闭、缝合等手术步骤的人力资源和基本物质资源消耗。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11400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10260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9690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06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6</w:t>
            </w: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013317000060001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胰腺移植术-儿童手术（加收）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异体同种胰腺移植，实现儿童患者供体胰腺植入。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06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013317000060100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胰腺移植术-异种器官（扩展）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异体异种胰腺移植，实现供体胰腺植入。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所定价格涵盖供体胰腺术前或术中整复、患者原位胰腺处理、供体胰腺植入，以及切开、吻合、关闭、缝合等手术步骤的人力资源和基本物质资源消耗。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11400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10260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9690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06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7</w:t>
            </w: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013317000070000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角膜移植术</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异体同种角膜（单侧）移植，实现患者原位角膜切除和供体角膜植入。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所定价格涵盖患者原位角膜切除、供体角膜术前或术中整复、供体角膜植入，以及切开、吻合、关闭、缝合等手术步骤的人力资源和基本物质资源消耗。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1710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1615</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065"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013317000070001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角膜移植术-儿童手术（加收）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异体同种角膜（单侧）移植，实现儿童患者原位角膜切除和供体角膜植入。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06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013317000070100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角膜移植术-异种组织（扩展）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异体异种角膜（单侧）移植，实现患者原位角膜切除和供体角膜植入。</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所定价格涵盖患者原位角膜切除、供体角膜术前或术中整复、供体角膜植入，以及切开、吻合、关闭、缝合等手术步骤的人力资源和基本物质资源消耗。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1900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1710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1615</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065" w:hRule="atLeast"/>
        </w:trPr>
        <w:tc>
          <w:tcPr>
            <w:tcW w:w="13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8</w:t>
            </w:r>
          </w:p>
        </w:tc>
        <w:tc>
          <w:tcPr>
            <w:tcW w:w="462" w:type="pct"/>
            <w:tcBorders>
              <w:top w:val="single" w:color="auto" w:sz="4" w:space="0"/>
              <w:left w:val="single" w:color="auto"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013317000080000</w:t>
            </w:r>
          </w:p>
        </w:tc>
        <w:tc>
          <w:tcPr>
            <w:tcW w:w="50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供肝切取术</w:t>
            </w:r>
          </w:p>
        </w:tc>
        <w:tc>
          <w:tcPr>
            <w:tcW w:w="83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活体供者肝脏（器官段）切取。</w:t>
            </w:r>
          </w:p>
        </w:tc>
        <w:tc>
          <w:tcPr>
            <w:tcW w:w="95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所定价格涵盖活体供者肝脏切取，以及切开、吻合、关闭、缝合等手术步骤的人力资源和基本物质资源消耗。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3563</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3207</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3029</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仅限于合法进行的活体器官捐献。</w:t>
            </w: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205" w:hRule="atLeast"/>
        </w:trPr>
        <w:tc>
          <w:tcPr>
            <w:tcW w:w="13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9</w:t>
            </w:r>
          </w:p>
        </w:tc>
        <w:tc>
          <w:tcPr>
            <w:tcW w:w="462" w:type="pct"/>
            <w:tcBorders>
              <w:top w:val="single" w:color="auto" w:sz="4" w:space="0"/>
              <w:left w:val="single" w:color="auto"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013317000090000</w:t>
            </w:r>
          </w:p>
        </w:tc>
        <w:tc>
          <w:tcPr>
            <w:tcW w:w="50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供肺切取术</w:t>
            </w:r>
          </w:p>
        </w:tc>
        <w:tc>
          <w:tcPr>
            <w:tcW w:w="83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活体供者肺脏（器官段）切取。</w:t>
            </w:r>
          </w:p>
        </w:tc>
        <w:tc>
          <w:tcPr>
            <w:tcW w:w="95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所定价格涵盖活体供者肺脏切取，以及切开、吻合、关闭、缝合等手术步骤的人力资源和基本物质资源消耗。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2850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2565</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2423</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仅限于合法进行的活体器官捐献。</w:t>
            </w: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445" w:hRule="atLeast"/>
        </w:trPr>
        <w:tc>
          <w:tcPr>
            <w:tcW w:w="13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w:t>
            </w:r>
          </w:p>
        </w:tc>
        <w:tc>
          <w:tcPr>
            <w:tcW w:w="462" w:type="pct"/>
            <w:tcBorders>
              <w:top w:val="single" w:color="auto" w:sz="4" w:space="0"/>
              <w:left w:val="single" w:color="auto"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013317000100000</w:t>
            </w:r>
          </w:p>
        </w:tc>
        <w:tc>
          <w:tcPr>
            <w:tcW w:w="50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供肾切取术</w:t>
            </w:r>
          </w:p>
        </w:tc>
        <w:tc>
          <w:tcPr>
            <w:tcW w:w="83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活体供者肾脏（单侧）切取。</w:t>
            </w:r>
          </w:p>
        </w:tc>
        <w:tc>
          <w:tcPr>
            <w:tcW w:w="95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所定价格涵盖活体供者肾脏切取，以及切开、吻合、关闭、缝合等手术步骤的人力资源和基本物质资源消耗。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1336</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1202</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1136</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仅限于合法进行的活体器官捐献。</w:t>
            </w: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310" w:hRule="atLeast"/>
        </w:trPr>
        <w:tc>
          <w:tcPr>
            <w:tcW w:w="13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11</w:t>
            </w:r>
          </w:p>
        </w:tc>
        <w:tc>
          <w:tcPr>
            <w:tcW w:w="462" w:type="pct"/>
            <w:tcBorders>
              <w:top w:val="single" w:color="auto" w:sz="4" w:space="0"/>
              <w:left w:val="single" w:color="auto"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013317000110000</w:t>
            </w:r>
          </w:p>
        </w:tc>
        <w:tc>
          <w:tcPr>
            <w:tcW w:w="50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供小肠切取术</w:t>
            </w:r>
          </w:p>
        </w:tc>
        <w:tc>
          <w:tcPr>
            <w:tcW w:w="83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活体供者小肠（器官段）切取。</w:t>
            </w:r>
          </w:p>
        </w:tc>
        <w:tc>
          <w:tcPr>
            <w:tcW w:w="95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所定价格涵盖活体供者小肠切取，以及切开、吻合、关闭、缝合等手术步骤的人力资源和基本物质资源消耗。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2090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1881</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1777</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仅限于合法进行的活体器官捐献。</w:t>
            </w: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r>
        <w:tblPrEx>
          <w:tblCellMar>
            <w:top w:w="0" w:type="dxa"/>
            <w:left w:w="108" w:type="dxa"/>
            <w:bottom w:w="0" w:type="dxa"/>
            <w:right w:w="108" w:type="dxa"/>
          </w:tblCellMar>
        </w:tblPrEx>
        <w:trPr>
          <w:trHeight w:val="1275" w:hRule="atLeast"/>
        </w:trPr>
        <w:tc>
          <w:tcPr>
            <w:tcW w:w="13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12</w:t>
            </w:r>
          </w:p>
        </w:tc>
        <w:tc>
          <w:tcPr>
            <w:tcW w:w="462" w:type="pct"/>
            <w:tcBorders>
              <w:top w:val="single" w:color="auto" w:sz="4" w:space="0"/>
              <w:left w:val="single" w:color="auto"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013317000120000</w:t>
            </w:r>
          </w:p>
        </w:tc>
        <w:tc>
          <w:tcPr>
            <w:tcW w:w="50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供胰腺切取术</w:t>
            </w:r>
          </w:p>
        </w:tc>
        <w:tc>
          <w:tcPr>
            <w:tcW w:w="83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活体供者胰腺（器官段）切取。</w:t>
            </w:r>
          </w:p>
        </w:tc>
        <w:tc>
          <w:tcPr>
            <w:tcW w:w="95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所定价格涵盖活体供者胰腺切取，以及切开、吻合、关闭、缝合等手术步骤的人力资源和基本物质资源消耗。</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2280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2052</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1938</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仅限于合法进行的活体器官捐献。</w:t>
            </w: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手术费</w:t>
            </w:r>
          </w:p>
        </w:tc>
      </w:tr>
    </w:tbl>
    <w:p>
      <w:pPr>
        <w:pStyle w:val="6"/>
        <w:keepNext w:val="0"/>
        <w:keepLines w:val="0"/>
        <w:pageBreakBefore w:val="0"/>
        <w:widowControl/>
        <w:shd w:val="clear" w:color="auto" w:fill="FFFFFF"/>
        <w:kinsoku/>
        <w:wordWrap/>
        <w:overflowPunct/>
        <w:topLinePunct w:val="0"/>
        <w:autoSpaceDE/>
        <w:autoSpaceDN/>
        <w:bidi w:val="0"/>
        <w:adjustRightInd/>
        <w:spacing w:beforeAutospacing="0" w:afterAutospacing="0" w:line="240" w:lineRule="auto"/>
        <w:ind w:firstLine="360" w:firstLineChars="200"/>
        <w:rPr>
          <w:rFonts w:hint="default" w:ascii="Times New Roman" w:hAnsi="Times New Roman" w:eastAsia="宋体" w:cs="Times New Roman"/>
          <w:sz w:val="18"/>
          <w:szCs w:val="18"/>
          <w:shd w:val="clear" w:color="auto" w:fill="FFFFFF"/>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仿宋_GB2312" w:cs="Times New Roman"/>
        </w:rPr>
        <w:sectPr>
          <w:pgSz w:w="16838" w:h="11906" w:orient="landscape"/>
          <w:pgMar w:top="1588" w:right="1985" w:bottom="1588" w:left="1985" w:header="851" w:footer="992" w:gutter="0"/>
          <w:pgNumType w:fmt="decimal"/>
          <w:cols w:space="425" w:num="1"/>
          <w:docGrid w:type="lines" w:linePitch="312" w:charSpace="0"/>
        </w:sect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附件3</w:t>
      </w:r>
    </w:p>
    <w:p>
      <w:pPr>
        <w:keepNext w:val="0"/>
        <w:keepLines w:val="0"/>
        <w:pageBreakBefore w:val="0"/>
        <w:kinsoku/>
        <w:wordWrap/>
        <w:overflowPunct/>
        <w:topLinePunct w:val="0"/>
        <w:autoSpaceDE/>
        <w:autoSpaceDN/>
        <w:bidi w:val="0"/>
        <w:adjustRightInd/>
        <w:snapToGrid w:val="0"/>
        <w:spacing w:beforeAutospacing="0" w:afterAutospacing="0" w:line="240" w:lineRule="auto"/>
        <w:ind w:firstLine="880" w:firstLineChars="200"/>
        <w:jc w:val="center"/>
        <w:rPr>
          <w:rFonts w:hint="default" w:ascii="Times New Roman" w:hAnsi="Times New Roman" w:eastAsia="方正小标宋_GBK" w:cs="Times New Roman"/>
          <w:sz w:val="44"/>
          <w:szCs w:val="44"/>
        </w:rPr>
      </w:pPr>
      <w:bookmarkStart w:id="4" w:name="OLE_LINK5"/>
      <w:r>
        <w:rPr>
          <w:rFonts w:hint="default" w:ascii="Times New Roman" w:hAnsi="Times New Roman" w:eastAsia="方正小标宋_GBK" w:cs="Times New Roman"/>
          <w:sz w:val="44"/>
          <w:szCs w:val="44"/>
        </w:rPr>
        <w:t>整合后中医外治类医疗服务价格项目表</w:t>
      </w:r>
    </w:p>
    <w:bookmarkEnd w:id="4"/>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b/>
          <w:bCs/>
          <w:kern w:val="0"/>
          <w:sz w:val="32"/>
          <w:szCs w:val="32"/>
        </w:rPr>
      </w:pPr>
      <w:r>
        <w:rPr>
          <w:rFonts w:hint="default" w:ascii="Times New Roman" w:hAnsi="Times New Roman" w:eastAsia="方正仿宋_GBK" w:cs="Times New Roman"/>
          <w:b/>
          <w:bCs/>
          <w:kern w:val="0"/>
          <w:sz w:val="32"/>
          <w:szCs w:val="32"/>
        </w:rPr>
        <w:t>使用说明：</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1.“价格构成”指项目价格应涵盖的各类资源消耗，用于确定计价单元的边界，不应作为临床技术标准理解，不是实际操作方式、路径、步骤、程序的强制性要求，所列“设备投入”包括但不限于操作设备、器具及固定资产投入。</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2.“加收项”指同一项目以不同方式提供或在不同场景应用时，确有必要制定差异化收费标准而细分的一类子项。</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3.“扩展项”指同一项目下以不同方式提供或在不同场景应用时，只扩展价格项目适用范围、不额外加价的一类子项，子项的价格按主项目执行。</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4.“基本物耗”指原则上限于不应或不必要与医疗服务项目分割的易耗品，属于医疗服务价格项目应当使用的，包括但不限于各类消杀用品、储存用品、清洁用品、个人防护用品、针（刀）具、刮匙、垃圾处理用品、冲洗液、润滑剂、灌洗液、棉球、棉签、药线、药捻、腕带、护垫、衬垫、手术巾（单）、治疗巾（单）、治疗护理盘（包）、注射器、压舌板、防渗漏垫、标签、操作器具、冲洗工具、备皮工具、包裹单（袋）等。基本物耗成本计入项目价格，不另行收费。</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5.“穴位”指中医行业主管部门相关技术规范确定的人体点区部位。</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6.“儿童”指6周岁及以下。周岁的计算方法以法律的相关规定为准。</w:t>
      </w:r>
    </w:p>
    <w:tbl>
      <w:tblPr>
        <w:tblStyle w:val="7"/>
        <w:tblW w:w="4997" w:type="pct"/>
        <w:tblInd w:w="0" w:type="dxa"/>
        <w:tblLayout w:type="autofit"/>
        <w:tblCellMar>
          <w:top w:w="0" w:type="dxa"/>
          <w:left w:w="108" w:type="dxa"/>
          <w:bottom w:w="0" w:type="dxa"/>
          <w:right w:w="108" w:type="dxa"/>
        </w:tblCellMar>
      </w:tblPr>
      <w:tblGrid>
        <w:gridCol w:w="332"/>
        <w:gridCol w:w="1464"/>
        <w:gridCol w:w="1285"/>
        <w:gridCol w:w="2153"/>
        <w:gridCol w:w="2464"/>
        <w:gridCol w:w="454"/>
        <w:gridCol w:w="599"/>
        <w:gridCol w:w="599"/>
        <w:gridCol w:w="605"/>
        <w:gridCol w:w="1898"/>
        <w:gridCol w:w="464"/>
        <w:gridCol w:w="657"/>
      </w:tblGrid>
      <w:tr>
        <w:trPr>
          <w:trHeight w:val="332" w:hRule="atLeast"/>
          <w:tblHeader/>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5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4"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2"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0"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18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7"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4"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3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5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4" w:type="pct"/>
            <w:vMerge w:val="continue"/>
            <w:tcBorders>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0"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62"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90" w:hRule="atLeast"/>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014100000010000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由医务人员使用贴敷制品敷贴于体表特定部位或穴位，通过药物或物理作用，以发挥促进气血调和、阴阳平衡等各类作用。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所定价格涵盖确定穴位，局部清洁，贴敷材料准备（含掺药、封包、冷热处理等），应用药物贴敷，处理用物所需的人力资源和基本物质资源消耗，含设备投入及维护成本。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52</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47</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44</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使用成品贴剂贴敷按耗材零差率收费，不可收取此项目。</w:t>
            </w: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555"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014100000010001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中药贴敷-中药硬膏贴敷（加收）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由医务人员使用中药硬膏贴敷制品敷贴于体表特定部位或穴位，通过药物或物理作用，以发挥促进气血调和、阴阳平衡等各类作用。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55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2"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014100000010002</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中药贴敷-中药贴敷（大）（加收）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“中药贴敷（大）”指面积∈（5cm×5cm，10cm×10cm]。</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555"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014100000010003</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中药贴敷-中药贴敷（特大）（加收）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“中药贴敷（特大）”指面积∈（10cm×10cm，∞）。</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10"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014100000010004</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由医务人员使用贴敷制品敷贴于儿童体表特定部位或穴位，通过药物或物理作用，以发挥促进气血调和、阴阳平衡等各类作用。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555"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014100000010100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中药贴敷-中药热奄包（扩展）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由医务人员使用中药热奄包敷贴于体表特定部位或穴位，通过药物或物理作用，以发挥促进气血调和、阴阳平衡等各类作用。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所定价格涵盖确定穴位，局部清洁，贴敷材料准备（含掺药、封包、冷热处理等），应用药物贴敷，处理用物所需的人力资源和基本物质资源消耗，含设备投入及维护成本。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52</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47</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44</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810"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014100000010200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中药贴敷-特殊材料贴敷（扩展）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由医务人员使用特殊材料贴敷制品敷贴于体表特定部位或穴位，通过药物或物理作用，以发挥促进气血调和、阴阳平衡等各类作用。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所定价格涵盖确定穴位，局部清洁，贴敷材料准备（含掺药、封包、冷热处理等），应用药物贴敷，处理用物所需的人力资源和基本物质资源消耗，含设备投入及维护成本。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52</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47</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44</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特殊材料贴敷指包括但不限于耳贴、纳米、红外等功能性材料贴敷。</w:t>
            </w: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90" w:hRule="atLeast"/>
        </w:trPr>
        <w:tc>
          <w:tcPr>
            <w:tcW w:w="137" w:type="pct"/>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014100000020000</w:t>
            </w:r>
          </w:p>
        </w:tc>
        <w:tc>
          <w:tcPr>
            <w:tcW w:w="504"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中药吹粉</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由医务人员将中药研粉吹至病变部位，以发挥促进消肿止痛等各类作用。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所定价格涵盖局部清洁，调配药粉，吹粉，处理用物所需的人力资源和基本物质资源消耗，含设备投入及维护成本。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14</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13</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12</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95"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014100000020001</w:t>
            </w:r>
          </w:p>
        </w:tc>
        <w:tc>
          <w:tcPr>
            <w:tcW w:w="504"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中药吹粉-儿童（加收）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由医务人员将中药研粉吹至儿童病变部位，以发挥促进消肿止痛等各类作用。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90"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462" w:type="pct"/>
            <w:tcBorders>
              <w:top w:val="single" w:color="auto"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014100000030000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中药烫熨</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由医务人员将调配药物加热后置于患者体表特定部位或穴位，进行移动敷熨，以发挥促进散寒止痛、消肿祛瘀等各类作用。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所定价格涵盖局部清洁，药物调配，移动敷熨，处理用物所需的人力资源和基本物质资源消耗，含设备投入及维护成本。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23</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21</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970" w:hRule="atLeast"/>
        </w:trPr>
        <w:tc>
          <w:tcPr>
            <w:tcW w:w="137"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014100000030001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中药烫熨-中药烫熨（特大）（加收）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“中药烫熨（特大）”指面积∈（10cm×10cm，∞）。</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65" w:hRule="atLeast"/>
        </w:trPr>
        <w:tc>
          <w:tcPr>
            <w:tcW w:w="137"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014100000030002</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中药烫熨-儿童（加收）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由医务人员将调配药物加热后置于儿童患者体表特定部位或穴位，进行移动敷熨，以发挥促进散寒止痛、消肿祛瘀等各类作用。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805" w:hRule="atLeast"/>
        </w:trPr>
        <w:tc>
          <w:tcPr>
            <w:tcW w:w="13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w:t>
            </w: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014100000040000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中药泡洗</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由医务人员协助或指导患者，行全身或局部体位浸泡或淋洗，完成中药泡洗，               以发挥促进消肿、止痛、生肌等各类作用。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所定价格涵盖局部清洁，药物调配，协助或指导，监测生命体征，观察药液温度等处理用物所需的人力资源和基本物质资源消耗，含设备投入及维护成本。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24</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22</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每日限收费2次。</w:t>
            </w: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05" w:hRule="atLeast"/>
        </w:trPr>
        <w:tc>
          <w:tcPr>
            <w:tcW w:w="137"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w:t>
            </w: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014100000040001</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中药泡洗-儿童（加收）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由医务人员协助或指导儿童患者，行全身或局部体位浸泡或淋洗，完成中药泡洗，以发挥促进消肿、止痛、生肌等各类作用。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85" w:hRule="atLeast"/>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w:t>
            </w:r>
          </w:p>
        </w:tc>
        <w:tc>
          <w:tcPr>
            <w:tcW w:w="4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014100000050000</w:t>
            </w:r>
          </w:p>
        </w:tc>
        <w:tc>
          <w:tcPr>
            <w:tcW w:w="504"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中药灌洗</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由医务人员将配制好的中药灌注并留置于人体腔道或窦道中，以发挥促进疏通散瘀、去腐生肌等各类作用。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所定价格涵盖局部清洁消毒，药物调配，材料准备，处理用物所需的人力资源和基本物质资源消耗，含设备投入及维护成本。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29</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26</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25</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45"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014100000050001</w:t>
            </w:r>
          </w:p>
        </w:tc>
        <w:tc>
          <w:tcPr>
            <w:tcW w:w="504"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中药灌洗-儿童（加收）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由医务人员将配制好的中药灌注并留置于儿童患者腔道或窦道中，以发挥促进疏通散瘀、去腐生肌等各类作用。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255" w:hRule="atLeast"/>
        </w:trPr>
        <w:tc>
          <w:tcPr>
            <w:tcW w:w="137" w:type="pct"/>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6</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014100000060000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中药溻渍</w:t>
            </w:r>
          </w:p>
        </w:tc>
        <w:tc>
          <w:tcPr>
            <w:tcW w:w="838"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由医务人员将调配药物通过敷料的形式调温后湿敷于患处，以发挥治疗和促进药物吸收等各类作用。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所定价格涵盖局部清洁，药物调配、蒸煮准备、溻渍治疗处理用物所需的人力资源和基本物质资源消耗，含设备投入及维护成本。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29</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26</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25</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840"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014100000060001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中药溻渍-中药溻渍（特大）（加收）</w:t>
            </w:r>
          </w:p>
        </w:tc>
        <w:tc>
          <w:tcPr>
            <w:tcW w:w="838"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“中药溻渍（特大）”指面积∈（10cm×10cm，∞）。</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840"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014100000060002</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中药溻渍-儿童（加收）</w:t>
            </w:r>
          </w:p>
        </w:tc>
        <w:tc>
          <w:tcPr>
            <w:tcW w:w="838" w:type="pct"/>
            <w:tcBorders>
              <w:top w:val="single" w:color="000000" w:sz="4" w:space="0"/>
              <w:left w:val="single" w:color="auto"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由医务人员将调配药物通过敷料的形式调温后湿敷于儿童患处，以发挥治疗和促进药物吸收等各类作用。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680"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7</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014100000070000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中药涂擦</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由医务人员将调配药物，制成水剂或膏剂或油剂等剂型的外用药物，直接涂擦于患者体表特定部位或穴位，以发挥促进活血化瘀、消炎止痛等各类作用。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所定价格涵盖局部清洁，药物调配，各类手法涂擦，处理用物所需的人力资源和基本物质资源消耗，含设备投入及维护成本。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29</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26</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25</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00" w:hRule="atLeast"/>
        </w:trPr>
        <w:tc>
          <w:tcPr>
            <w:tcW w:w="137"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014100000070001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中药涂擦-中药涂擦（特大）（加收）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“中药涂擦（特大）”指面积∈（10cm×10cm，∞）。</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85"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014100000070002</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中药涂擦-儿童（加收）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由医务人员将调配药物，制成水剂或膏剂或油剂等剂型的外用药物，直接涂擦于儿童患者体表特定部位或穴位，以发挥促进活血化瘀、消炎止痛等各类作用。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2065" w:hRule="atLeast"/>
        </w:trPr>
        <w:tc>
          <w:tcPr>
            <w:tcW w:w="137"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8</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014100000080000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中医熏洗</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由医务人员选用制备好的药卷、药香或其他材料，点燃后直接用烟熏烤或蒸汽的形式，作用在患者身体某特定部位，以发挥疏通经络、促进药物吸收等各类作用。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所定价格涵盖局部清洁，药物调配，熏（蒸）药，处理用物所需的人力资源和基本物质资源消耗，含设备投入及维护成本。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38</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34</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32</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每日限收费2次。</w:t>
            </w: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2015" w:hRule="atLeast"/>
        </w:trPr>
        <w:tc>
          <w:tcPr>
            <w:tcW w:w="137"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8</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014100000080001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中医熏洗-儿童（加收）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由医务人员选用制备好的药卷、药香或其他材料，点燃后直接用烟熏烤或蒸汽的形式，作用在儿童患者身体某特定部位，以发挥疏通经络、促进药物吸收等各类作用。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50"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9</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014100000090000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中药腐蚀</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由医务人员选用具有一定腐蚀作用的药物，敷涂患处，以蚀去恶肉、赘生物、肿物等，实现局部病变祛除，促使新肉生长。</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所定价格涵盖局部消毒，药物调配，腐蚀，包扎，处理用物所需的人力资源和基本物质资源消耗，含设备投入及维护成本。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腐蚀位</w:t>
            </w:r>
            <w:r>
              <w:rPr>
                <w:rFonts w:hint="default" w:ascii="Times New Roman" w:hAnsi="Times New Roman" w:eastAsia="方正仿宋_GBK" w:cs="Times New Roman"/>
                <w:kern w:val="0"/>
                <w:sz w:val="18"/>
                <w:szCs w:val="18"/>
              </w:rPr>
              <w:br w:type="textWrapping"/>
            </w:r>
            <w:r>
              <w:rPr>
                <w:rFonts w:hint="default" w:ascii="Times New Roman" w:hAnsi="Times New Roman" w:eastAsia="方正仿宋_GBK" w:cs="Times New Roman"/>
                <w:kern w:val="0"/>
                <w:sz w:val="18"/>
                <w:szCs w:val="18"/>
              </w:rPr>
              <w:t>点/次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17</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16</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640"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014100000090001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中药腐蚀-儿童（加收）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由医务人员选用具有一定腐蚀作用的药物，敷涂儿童患处，以蚀去恶肉、赘生物、肿物等，实现局部病变祛除，促使新肉生长。</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腐蚀位</w:t>
            </w:r>
            <w:r>
              <w:rPr>
                <w:rFonts w:hint="default" w:ascii="Times New Roman" w:hAnsi="Times New Roman" w:eastAsia="方正仿宋_GBK" w:cs="Times New Roman"/>
                <w:kern w:val="0"/>
                <w:sz w:val="18"/>
                <w:szCs w:val="18"/>
              </w:rPr>
              <w:br w:type="textWrapping"/>
            </w:r>
            <w:r>
              <w:rPr>
                <w:rFonts w:hint="default" w:ascii="Times New Roman" w:hAnsi="Times New Roman" w:eastAsia="方正仿宋_GBK" w:cs="Times New Roman"/>
                <w:kern w:val="0"/>
                <w:sz w:val="18"/>
                <w:szCs w:val="18"/>
              </w:rPr>
              <w:t>点/次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05" w:hRule="atLeast"/>
        </w:trPr>
        <w:tc>
          <w:tcPr>
            <w:tcW w:w="137"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014100000100000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中药化腐清疮</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由医务人员将化腐药物敷施于疮面，达到去腐生肌，促进疮面愈合的作用。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所定价格涵盖药物调配，局部消毒，皮肤表层创面清理、敷药、包扎，处理用物所需的人力资源和基本物质资源消耗，含设备投入及维护成本。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疮面/次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29</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26</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25</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080"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014100000100001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中药化腐清疮-深层化腐清疮（加收）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由医务人员将化腐药物敷施于深层疮面，达到去腐生肌，促进疮面愈合的作用。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疮面/次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“深层”指达皮下脂肪组织。</w:t>
            </w: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945"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014100000100002</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中药化腐清疮-儿童（加收）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由医务人员将化腐药物敷施于儿童疮面，达到去腐生肌，促进疮面愈合的作用。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疮面/次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605"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11</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014100000110000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中医锐性清疮</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由医务人员使用包括但不限于刀、剪、刮勺、钳等器械清除创面，发挥去腐生肌、促进疮面愈合的作用。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所定价格涵盖药物调配，局部消毒，皮肤表层创面清理、使用器械清疮、敷药、包扎，处理用物所需的人力资源和基本物质资源消耗，含设备投入及维护成本。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疮面/次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62</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56</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53</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80"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014100000110001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中医锐性清疮-儿童（加收）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由医务人员使用包括但不限于刀、剪、刮勺、钳等器械清除儿童患者创面，发挥去腐生肌、促进疮面愈合的作用。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疮面/次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12</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014100000120000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中医窦道（切开） 搔爬</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完成窦道（切开）搔爬，促进窦道闭合。</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所定价格涵盖局部消毒，探查浅表窦道，必要时切开，搔爬，处理用物所需的人力资源和基本物质资源消耗，含设备投入及维护成本。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每窦道/次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91</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82</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77</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840"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014100000120001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中医窦道（切开） 搔爬-深层搔爬（加收）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完成窦道（切开）深层搔爬，促进窦道闭合。</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每窦道/次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“深层”指达皮下脂肪组织。</w:t>
            </w: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035"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12</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014100000120002</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中医窦道（切开） 搔爬-耳前窦道（加收）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完成耳前窦道（切开）搔爬，促进窦道闭合。</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每窦道/次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840"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014100000120003</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中医窦道（切开） 搔爬-儿童（加收）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完成儿童患者的窦道（切开）搔爬，促进窦道闭合。</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每窦道/次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95"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13</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014100000130000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中医挑治</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由医务人员使用针具，在特定部位或穴位上刺入、挑拨，以发挥调理气血、疏通经络、解除瘀滞等各类作用。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所定价格涵盖确定部位，局部消毒，挑治，处理创口所需的人力资源和基本物质资源消耗，含设备投入及维护成本。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挑治部</w:t>
            </w:r>
            <w:r>
              <w:rPr>
                <w:rFonts w:hint="default" w:ascii="Times New Roman" w:hAnsi="Times New Roman" w:eastAsia="方正仿宋_GBK" w:cs="Times New Roman"/>
                <w:kern w:val="0"/>
                <w:sz w:val="18"/>
                <w:szCs w:val="18"/>
              </w:rPr>
              <w:br w:type="textWrapping"/>
            </w:r>
            <w:r>
              <w:rPr>
                <w:rFonts w:hint="default" w:ascii="Times New Roman" w:hAnsi="Times New Roman" w:eastAsia="方正仿宋_GBK" w:cs="Times New Roman"/>
                <w:kern w:val="0"/>
                <w:sz w:val="18"/>
                <w:szCs w:val="18"/>
              </w:rPr>
              <w:t>位/次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29</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26</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25</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35"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014100000130001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中医挑治-儿童（加收）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由医务人员使用针具，在儿童患</w:t>
            </w:r>
            <w:r>
              <w:rPr>
                <w:rFonts w:hint="default" w:ascii="Times New Roman" w:hAnsi="Times New Roman" w:eastAsia="方正仿宋_GBK" w:cs="Times New Roman"/>
                <w:spacing w:val="-6"/>
                <w:kern w:val="0"/>
                <w:sz w:val="18"/>
                <w:szCs w:val="18"/>
              </w:rPr>
              <w:t>者特定部位或穴位上刺入、挑拨，以发挥调理气血、疏通经络、解除瘀滞等各类作用。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挑治部</w:t>
            </w:r>
            <w:r>
              <w:rPr>
                <w:rFonts w:hint="default" w:ascii="Times New Roman" w:hAnsi="Times New Roman" w:eastAsia="方正仿宋_GBK" w:cs="Times New Roman"/>
                <w:kern w:val="0"/>
                <w:sz w:val="18"/>
                <w:szCs w:val="18"/>
              </w:rPr>
              <w:br w:type="textWrapping"/>
            </w:r>
            <w:r>
              <w:rPr>
                <w:rFonts w:hint="default" w:ascii="Times New Roman" w:hAnsi="Times New Roman" w:eastAsia="方正仿宋_GBK" w:cs="Times New Roman"/>
                <w:kern w:val="0"/>
                <w:sz w:val="18"/>
                <w:szCs w:val="18"/>
              </w:rPr>
              <w:t>位/次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80"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14</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014100000140000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中医割治</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由医务人员选择部位或穴位，使用操作器具完成切割，以发挥促进经络疏通、毒邪外泄、缓解病痛等各类作用。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所定价格涵盖确定部位，局部消毒，切割、包扎创口、处理用物所需的人力资源和基本物质资源消耗，含设备投入及维护成本。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52</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47</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44</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014100000140001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中医割治-儿童（加收）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由医务人员选择儿童患者的部位或穴位，使用操作器具完成切割，以发挥促进经络疏通、毒邪外泄、缓解病痛等各类作用。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05"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15</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014100000150000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中医穴位放血治疗</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由医务人员辨证使用器具刺（划）破特定穴位或部位，放出适量血液，以发挥促进活血祛瘀、排毒止痛等各类作用。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所定价格涵盖使用各种工具，局部消毒，确定部位，放血，处理创口所需的人力资源和基本物质资源消耗，含设备投入及维护成本。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57</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51</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48</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10" w:hRule="atLeast"/>
        </w:trPr>
        <w:tc>
          <w:tcPr>
            <w:tcW w:w="137"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014100000150001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中医穴位放血治疗-甲床放血（加收）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由医务人员辨证使用器具刺（划）破甲床，放出适量血液，以发挥促进活血祛瘀、排毒止痛等各类作用。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每甲</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240" w:hRule="atLeast"/>
        </w:trPr>
        <w:tc>
          <w:tcPr>
            <w:tcW w:w="137" w:type="pct"/>
            <w:vMerge w:val="continue"/>
            <w:tcBorders>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014100000150002</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中医穴位放血治疗-刺络放血（加收）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由医务人员辨证使用器具刺络，放出适量血液，以发挥促进活血祛瘀、排毒止痛等各类作用。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014100000150003</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中医穴位放血治疗-儿童（加收）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由医务人员辨证使用器具刺（划）破儿童患者特定穴位或部位，放出适量血液，以发挥促进活血祛瘀、排毒止痛等各类作用。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805" w:hRule="atLeast"/>
        </w:trPr>
        <w:tc>
          <w:tcPr>
            <w:tcW w:w="137"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16</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014100000160000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中医药线引流</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由医务人员使用不同材料加药品制作成线状物，插入引流口中，达到祛腐引流，促进疮口愈合的作用。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所定价格涵盖引流物制作、药物调配，局部消毒，疮口清理、放置引流物、必要时切开，局部包扎、处理用物所需的人力资源和基本物质资源消耗，含设备投入及维护成本。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每引流</w:t>
            </w:r>
            <w:r>
              <w:rPr>
                <w:rFonts w:hint="default" w:ascii="Times New Roman" w:hAnsi="Times New Roman" w:eastAsia="方正仿宋_GBK" w:cs="Times New Roman"/>
                <w:kern w:val="0"/>
                <w:sz w:val="18"/>
                <w:szCs w:val="18"/>
              </w:rPr>
              <w:br w:type="textWrapping"/>
            </w:r>
            <w:r>
              <w:rPr>
                <w:rFonts w:hint="default" w:ascii="Times New Roman" w:hAnsi="Times New Roman" w:eastAsia="方正仿宋_GBK" w:cs="Times New Roman"/>
                <w:kern w:val="0"/>
                <w:sz w:val="18"/>
                <w:szCs w:val="18"/>
              </w:rPr>
              <w:t>口/次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34</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31</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29</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85" w:hRule="atLeast"/>
        </w:trPr>
        <w:tc>
          <w:tcPr>
            <w:tcW w:w="137"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16</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014100000160001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中医药线引流-儿童（加收）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由医务人员使用不同材料加药品制作成线状物，插入儿童患者的引流口中，达到祛腐引流，促进疮口愈合的作用。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每引流</w:t>
            </w:r>
            <w:r>
              <w:rPr>
                <w:rFonts w:hint="default" w:ascii="Times New Roman" w:hAnsi="Times New Roman" w:eastAsia="方正仿宋_GBK" w:cs="Times New Roman"/>
                <w:kern w:val="0"/>
                <w:sz w:val="18"/>
                <w:szCs w:val="18"/>
              </w:rPr>
              <w:br w:type="textWrapping"/>
            </w:r>
            <w:r>
              <w:rPr>
                <w:rFonts w:hint="default" w:ascii="Times New Roman" w:hAnsi="Times New Roman" w:eastAsia="方正仿宋_GBK" w:cs="Times New Roman"/>
                <w:kern w:val="0"/>
                <w:sz w:val="18"/>
                <w:szCs w:val="18"/>
              </w:rPr>
              <w:t>口/次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50"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17</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014100000170000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中医刮痧</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由医务人员通过刮痧器具和相应的手法，在体表进行反复刮动、摩擦，从发挥促进活血透痧等各类作用。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所定价格涵盖局部消毒，确定部位、刮拭、清洁，处理用物所需的人力资源和基本物质资源消耗，含设备投入及维护成本。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46</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41</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39</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15" w:hRule="atLeast"/>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014100000170001</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中医刮痧-儿童（加收）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由医务人员通过刮痧器具和相</w:t>
            </w:r>
            <w:r>
              <w:rPr>
                <w:rFonts w:hint="default" w:ascii="Times New Roman" w:hAnsi="Times New Roman" w:eastAsia="方正仿宋_GBK" w:cs="Times New Roman"/>
                <w:spacing w:val="-6"/>
                <w:kern w:val="0"/>
                <w:sz w:val="18"/>
                <w:szCs w:val="18"/>
              </w:rPr>
              <w:t>应的手法，在儿童患者的体表进行反复刮动、摩擦，从发挥促进活血透痧等各类作用。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860" w:hRule="atLeast"/>
        </w:trPr>
        <w:tc>
          <w:tcPr>
            <w:tcW w:w="137" w:type="pct"/>
            <w:vMerge w:val="restart"/>
            <w:tcBorders>
              <w:top w:val="single" w:color="auto"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18</w:t>
            </w:r>
          </w:p>
        </w:tc>
        <w:tc>
          <w:tcPr>
            <w:tcW w:w="462"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014100000180000</w:t>
            </w:r>
          </w:p>
        </w:tc>
        <w:tc>
          <w:tcPr>
            <w:tcW w:w="504" w:type="pct"/>
            <w:tcBorders>
              <w:top w:val="single" w:color="auto"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砭石疗法</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由医务人员使用砭石等同类功能的器具，通过各类手法作用在人体各部位，以发挥促进疏通经络、活血理气等各类作用。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所定价格涵盖局部消毒，确定部位、运用点、压、揉、推、刮、擦等各类手法、清洁，处理用物所需的人力资源和基本物质资源消耗，含设备投入及维护成本。</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48</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43</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41</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285" w:hRule="atLeast"/>
        </w:trPr>
        <w:tc>
          <w:tcPr>
            <w:tcW w:w="137"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014100000180001</w:t>
            </w:r>
          </w:p>
        </w:tc>
        <w:tc>
          <w:tcPr>
            <w:tcW w:w="504" w:type="pct"/>
            <w:tcBorders>
              <w:top w:val="single" w:color="auto"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砭石疗法-儿童（加收）</w:t>
            </w:r>
          </w:p>
        </w:tc>
        <w:tc>
          <w:tcPr>
            <w:tcW w:w="83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由医务人员使用砭石等同类功能的器具，通过各类手法作用在儿童患者的各部位，以发挥促进疏通经络、活血理气等各类作用。</w:t>
            </w:r>
          </w:p>
        </w:tc>
        <w:tc>
          <w:tcPr>
            <w:tcW w:w="95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8"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62"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bl>
    <w:p>
      <w:pPr>
        <w:pStyle w:val="2"/>
        <w:keepNext w:val="0"/>
        <w:keepLines w:val="0"/>
        <w:pageBreakBefore w:val="0"/>
        <w:kinsoku/>
        <w:wordWrap/>
        <w:overflowPunct/>
        <w:topLinePunct w:val="0"/>
        <w:autoSpaceDE/>
        <w:autoSpaceDN/>
        <w:bidi w:val="0"/>
        <w:adjustRightInd/>
        <w:spacing w:before="0" w:beforeAutospacing="0" w:after="0" w:afterAutospacing="0" w:line="240" w:lineRule="auto"/>
        <w:rPr>
          <w:rFonts w:hint="default" w:ascii="Times New Roman" w:hAnsi="Times New Roman" w:cs="Times New Roman"/>
        </w:rPr>
        <w:sectPr>
          <w:pgSz w:w="16838" w:h="11906" w:orient="landscape"/>
          <w:pgMar w:top="1588" w:right="1985" w:bottom="1588" w:left="1985" w:header="851" w:footer="992" w:gutter="0"/>
          <w:pgNumType w:fmt="decimal"/>
          <w:cols w:space="425" w:num="1"/>
          <w:docGrid w:type="lines" w:linePitch="312" w:charSpace="0"/>
        </w:sect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附件4</w:t>
      </w:r>
    </w:p>
    <w:p>
      <w:pPr>
        <w:keepNext w:val="0"/>
        <w:keepLines w:val="0"/>
        <w:pageBreakBefore w:val="0"/>
        <w:kinsoku/>
        <w:wordWrap/>
        <w:overflowPunct/>
        <w:topLinePunct w:val="0"/>
        <w:autoSpaceDE/>
        <w:autoSpaceDN/>
        <w:bidi w:val="0"/>
        <w:adjustRightInd/>
        <w:spacing w:beforeAutospacing="0" w:afterAutospacing="0" w:line="240" w:lineRule="auto"/>
        <w:ind w:firstLine="880" w:firstLineChars="200"/>
        <w:jc w:val="center"/>
        <w:rPr>
          <w:rFonts w:hint="default" w:ascii="Times New Roman" w:hAnsi="Times New Roman" w:eastAsia="方正小标宋_GBK" w:cs="Times New Roman"/>
          <w:sz w:val="44"/>
          <w:szCs w:val="44"/>
        </w:rPr>
      </w:pPr>
      <w:bookmarkStart w:id="5" w:name="OLE_LINK6"/>
      <w:r>
        <w:rPr>
          <w:rFonts w:hint="default" w:ascii="Times New Roman" w:hAnsi="Times New Roman" w:eastAsia="方正小标宋_GBK" w:cs="Times New Roman"/>
          <w:sz w:val="44"/>
          <w:szCs w:val="44"/>
        </w:rPr>
        <w:t>整合后中医针法类医疗服务价格项目表</w:t>
      </w:r>
    </w:p>
    <w:bookmarkEnd w:id="5"/>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b/>
          <w:bCs/>
          <w:kern w:val="0"/>
          <w:sz w:val="32"/>
          <w:szCs w:val="32"/>
        </w:rPr>
        <w:t>使用说明：</w:t>
      </w:r>
      <w:r>
        <w:rPr>
          <w:rFonts w:hint="default" w:ascii="Times New Roman" w:hAnsi="Times New Roman" w:eastAsia="方正仿宋_GBK" w:cs="Times New Roman"/>
          <w:kern w:val="0"/>
          <w:sz w:val="32"/>
          <w:szCs w:val="32"/>
        </w:rPr>
        <w:t xml:space="preserve">                                                                                                                                                                                                                                                                                                                                                                                                                                                                                                   </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 xml:space="preserve">1.“价格构成”指项目价格应涵盖的各类资源消耗，用于确定计价单元的边界，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价格构成”涵盖了中医针法开穴、取穴、选针、进针、留针、行针、出针等整个操作过程。 </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2.“加收项”指同一项目以不同方式提供或在不同场景应用时，确有必要制定差异化收费标准而细分的一类子项。</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3.“扩展项”指同一项目下以不同方式提供或在不同场景应用时，只扩展价格项目适用范围、不额外加价的一类子项，子项的价格按主项目执行。</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4.“基本物耗”指原则上限于不应或不必要与医疗服务项目分割的易耗品，属于医疗服务价格项目应当使用的，包括但不限于针具、耳豆（含磁珠）、埋线（针）用品、治疗用蜂等生物活体以及各类消杀用品、储存用品、清洁用品、个人防护用品、垃圾处理用品、敷料、棉球、棉签、治疗巾（单）、治疗护理盘（包）、注射器、压舌板、防渗漏垫、尿垫、中单、标签、操作器具、备皮工具、包裹单（袋）等。基本物耗成本计入项目价格，不另行收费。</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5.“选针”指针刺前准备，选择类别、材质、型号规格适宜的针具，根据患者的体质、体形、年龄、病情和腧穴部位等，选用适合针具施治，不再对材质、类别等进行区别计费。</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6.“进针”指将针具刺入体内的方法，在操作上一般通过循按经脉，揣按穴位等预备方法，然后将针由浅入深地刺入预定的深度，不再区分针具刺入的深浅度分别立项或分别制定收费标准。“行针”指将针刺刺入腧穴后，为了使之得气、调节针感以及进行补泻等而实施的各种手法，如提插捻转、循法、弹法、刮法、摇法、飞法、震颤法等。“留针”指将针具刺入腧穴并施行手法后，将针留置于腧穴内一定时间的方法。“出针”指行针完毕后，将针拔出的操作方法。</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7.“特殊针具”指国家卫生健康委制定发布技术规范收录的，长度、直径、形制、用法显著区别于毫针的其他针具，如芒针等。“特殊手法”指国家卫生健康委制定发布技术规范单列的特色针刺手法，以及其他传承有序、列入地市级及以上非物质文化遗产的针法技术。医疗机构应用其他新手法或新针具开展中医针法治疗，尚未列入国家卫生健康委制定发布技术规范、不符合前述要求的，采取现有项目兼容的方式，按照常规针法的价格政策执行。</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8.“特殊穴位”指具有一定危险性穴位，包括睛明、承泣、球后、风府、风池、哑门、人迎、天突、冲门、长强、会阴、八髎、金津、玉液及位于胸胁、颈项、背部的腧穴。“特殊部位”指未列入传统中医腧穴范畴，中医针法治疗有效，具有一定危险性的特殊部位，例如国家卫生健康委制定发布技术规范中所列的眼窝内施针、翼腭窝深部的蝶腭神经节施针等情形。常规针法治疗或特殊针法治疗中涉及特殊穴位的，可在收取“常规针法”或“特殊针法”费用的基础上，同时收取“特殊穴位针法”的费用。</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9.“特殊开穴手法”指国家卫生健康委制定发布技术规范中单列的特色开穴手法，如“子午流注开穴法”、“灵龟八法开穴法”、“飞腾八法开穴法”等，开穴（取穴）作为针法操作价格的一部分，合并到“特殊针法”项目价格构成中。</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10.“仪器针法”指应用仪器产生的电、热、冷、磁、振动、光等各类效应替代针具完成针法操作的针刺治疗，例如国家卫生健康委制定发布技术规范中所列的激光针治疗、磁针治疗等。“仪器辅助操作”指医师实施常规针法、特殊针具针法、特殊手法针法时，利用仪器使针具产生振动、电流、温度变化等，辅助完成针刺操作或者强化针刺效果。</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11.涉及“包括……”“……等”的，属于开放型表述，所指对象不仅局限于表述中列明的事项，也包括未列明的同类事项，以国家级技术规范、临床指南或专家共识中的明确定性为依据。</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12.“中医自血疗法”指医务人员根据病情选穴，取患者自体血液，并通过穴位或肌肉组织注回患者自身体内，含取血、注射等操作。</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13.计价单位中的“次•日”，指完成一次完整的针刺过程，不以进针数量计费，每日收费一次。</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14.“儿童”指6周岁及以下。周岁的计算方法以法律的相关规定为准。</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15.中医类医疗服务价格项目中所称的“医师”，指具备中医类别执业（助理）医师资格或经培训合格的西学中人员。</w:t>
      </w:r>
    </w:p>
    <w:tbl>
      <w:tblPr>
        <w:tblStyle w:val="7"/>
        <w:tblW w:w="4997" w:type="pct"/>
        <w:tblInd w:w="0" w:type="dxa"/>
        <w:tblLayout w:type="autofit"/>
        <w:tblCellMar>
          <w:top w:w="0" w:type="dxa"/>
          <w:left w:w="108" w:type="dxa"/>
          <w:bottom w:w="0" w:type="dxa"/>
          <w:right w:w="108" w:type="dxa"/>
        </w:tblCellMar>
      </w:tblPr>
      <w:tblGrid>
        <w:gridCol w:w="332"/>
        <w:gridCol w:w="1464"/>
        <w:gridCol w:w="1285"/>
        <w:gridCol w:w="2153"/>
        <w:gridCol w:w="2464"/>
        <w:gridCol w:w="454"/>
        <w:gridCol w:w="599"/>
        <w:gridCol w:w="599"/>
        <w:gridCol w:w="605"/>
        <w:gridCol w:w="1898"/>
        <w:gridCol w:w="579"/>
        <w:gridCol w:w="542"/>
      </w:tblGrid>
      <w:tr>
        <w:tblPrEx>
          <w:tblCellMar>
            <w:top w:w="0" w:type="dxa"/>
            <w:left w:w="108" w:type="dxa"/>
            <w:bottom w:w="0" w:type="dxa"/>
            <w:right w:w="108" w:type="dxa"/>
          </w:tblCellMar>
        </w:tblPrEx>
        <w:trPr>
          <w:trHeight w:val="332" w:hRule="atLeast"/>
          <w:tblHeader/>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5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4"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2"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0"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3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3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5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4" w:type="pct"/>
            <w:vMerge w:val="continue"/>
            <w:tcBorders>
              <w:left w:val="single" w:color="000000" w:sz="4" w:space="0"/>
              <w:bottom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0"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1" w:type="pct"/>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0"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32"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2115" w:hRule="atLeast"/>
        </w:trPr>
        <w:tc>
          <w:tcPr>
            <w:tcW w:w="137" w:type="pct"/>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014200000010000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常规针法</w:t>
            </w:r>
          </w:p>
        </w:tc>
        <w:tc>
          <w:tcPr>
            <w:tcW w:w="838" w:type="pct"/>
            <w:tcBorders>
              <w:top w:val="single" w:color="000000" w:sz="4" w:space="0"/>
              <w:left w:val="single" w:color="auto"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由主治及以下医师根据病情选穴，通过基本手法和辅助手法，以毫针治疗疾病，促进疏通经络，调理脏腑，扶正祛邪。</w:t>
            </w:r>
          </w:p>
        </w:tc>
        <w:tc>
          <w:tcPr>
            <w:tcW w:w="958"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所定价格涵盖穴位确定、消毒、选针、进针、行针、留针、出针、必要时行仪器辅助操作等过程中所需的人力资源和基本物质资源消耗，含设备投入及维护成本。</w:t>
            </w:r>
          </w:p>
        </w:tc>
        <w:tc>
          <w:tcPr>
            <w:tcW w:w="184" w:type="pct"/>
            <w:tcBorders>
              <w:top w:val="single" w:color="000000" w:sz="4" w:space="0"/>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57</w:t>
            </w: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51</w:t>
            </w:r>
          </w:p>
        </w:tc>
        <w:tc>
          <w:tcPr>
            <w:tcW w:w="241"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48</w:t>
            </w:r>
          </w:p>
        </w:tc>
        <w:tc>
          <w:tcPr>
            <w:tcW w:w="7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同时采用了常规针法、特殊针具针法、特殊手法针法中的两项或者三项，按收费标准最高的服务项目计费，不叠加计费。</w:t>
            </w:r>
          </w:p>
        </w:tc>
        <w:tc>
          <w:tcPr>
            <w:tcW w:w="232"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sz w:val="18"/>
                <w:szCs w:val="18"/>
              </w:rPr>
              <w:t>1</w:t>
            </w:r>
          </w:p>
        </w:tc>
        <w:tc>
          <w:tcPr>
            <w:tcW w:w="218"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95"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014200000010001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常规针法-儿童（加收）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由主治及以下医师根据儿童病情选穴，通过基本手法和辅助手法，以毫针治疗疾病，促进疏通经络，调理脏腑，扶正祛邪。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27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014200000010011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常规针法-主任医师（加收）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由主任医师根据病情选穴，通过基本手法和辅助手法，以毫针治疗疾病，促进疏通经络，调理脏腑，扶正祛邪。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9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014200000010012</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常规针法-副主任医师（加收）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由副主任医师根据病情选穴，通过基本手法和辅助手法，以毫针治疗疾病，促进疏通经络，调理脏腑，扶正祛邪。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2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014200000020000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特殊针具针法</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由主治及以下医师根据病情选穴，通过基本手法和辅助手法，以特殊针具治疗疾病，促进疏通经络，调理脏腑，扶正祛邪。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所定价格涵盖穴位确定、消毒、选针、进针、行针、留针、出针、必要时行仪器辅助操作等过程中所需的人力资源和基本物质资源消耗，含设备投入及维护成本。</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63</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57</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54</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同时采用了常规针法、特</w:t>
            </w:r>
            <w:r>
              <w:rPr>
                <w:rFonts w:hint="default" w:ascii="Times New Roman" w:hAnsi="Times New Roman" w:eastAsia="方正仿宋_GBK" w:cs="Times New Roman"/>
                <w:spacing w:val="-6"/>
                <w:kern w:val="0"/>
                <w:sz w:val="18"/>
                <w:szCs w:val="18"/>
              </w:rPr>
              <w:t>殊针具针法、特殊手法针法中的两项或者三项，按收费标准最高的服务项目计费，不叠加计费。</w:t>
            </w: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2</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225"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014200000020001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特殊针具针法-儿童（加收）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由主治及以下医师根据儿童病情选穴，通过基本手法和辅助手法，以特殊针具治疗疾病，促进疏通经络，调理脏腑，扶正祛邪。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2</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9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014200000020011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特殊针具针法-主任医师（加收）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由主任医师根据病情选穴，通过基本手法和辅助手法，以特殊针具治疗疾病，促进疏通经络，调理脏腑，扶正祛邪。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2</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40" w:hRule="atLeast"/>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014200000020012</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特殊针具针法-副主任医师（加收）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由副主任医师根据病情选穴，通过基本手法和辅助手</w:t>
            </w:r>
            <w:r>
              <w:rPr>
                <w:rFonts w:hint="default" w:ascii="Times New Roman" w:hAnsi="Times New Roman" w:eastAsia="方正仿宋_GBK" w:cs="Times New Roman"/>
                <w:spacing w:val="-6"/>
                <w:kern w:val="0"/>
                <w:sz w:val="18"/>
                <w:szCs w:val="18"/>
              </w:rPr>
              <w:t>法，以特殊针具治疗疾病，促进疏通经络，调理脏腑，扶正祛邪。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2</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975" w:hRule="atLeast"/>
        </w:trPr>
        <w:tc>
          <w:tcPr>
            <w:tcW w:w="137" w:type="pct"/>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014200000030000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特殊手法针法</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由主治及以下医师根据病情，采取特殊开穴方法或通过毫针特殊手法，治疗疾病，促进疏通经络，调理脏腑，扶正祛邪。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所定价格涵盖穴位确定、消毒、选针、进针、行针、留针、出针、必要时行仪器辅助操作等过程中所需的人力资源和基本物质资源消耗，含设备投入及维护成本。</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51</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46</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43</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同时采用了常规针法、特殊针具针法、特殊手</w:t>
            </w:r>
            <w:r>
              <w:rPr>
                <w:rFonts w:hint="default" w:ascii="Times New Roman" w:hAnsi="Times New Roman" w:eastAsia="方正仿宋_GBK" w:cs="Times New Roman"/>
                <w:spacing w:val="-6"/>
                <w:kern w:val="0"/>
                <w:sz w:val="18"/>
                <w:szCs w:val="18"/>
              </w:rPr>
              <w:t>法针法中的两项或者三项，按收费标准最</w:t>
            </w:r>
            <w:r>
              <w:rPr>
                <w:rFonts w:hint="default" w:ascii="Times New Roman" w:hAnsi="Times New Roman" w:eastAsia="方正仿宋_GBK" w:cs="Times New Roman"/>
                <w:kern w:val="0"/>
                <w:sz w:val="18"/>
                <w:szCs w:val="18"/>
              </w:rPr>
              <w:t>高的服务项目计费，不叠加计费。</w:t>
            </w: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40"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014200000030001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特殊手法针法-儿童（加收）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由主治及以下医师根据儿童病情，采取特殊开穴方法或通过毫针特殊手法，治疗疾病，促进疏通经络，调理脏腑，扶正祛邪。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245"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014200000030011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特殊手法针法-主任医师（加收）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由主任医师根据病情，采取特殊开穴方法或通过毫针特殊手法，治疗疾病，促进疏通经络，调理脏腑，扶正祛邪。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95" w:hRule="atLeast"/>
        </w:trPr>
        <w:tc>
          <w:tcPr>
            <w:tcW w:w="137" w:type="pct"/>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014200000030012</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特殊手法针法-副主任医师（加收）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由副主任医师根据病情，采取特</w:t>
            </w:r>
            <w:r>
              <w:rPr>
                <w:rFonts w:hint="default" w:ascii="Times New Roman" w:hAnsi="Times New Roman" w:eastAsia="方正仿宋_GBK" w:cs="Times New Roman"/>
                <w:spacing w:val="-6"/>
                <w:kern w:val="0"/>
                <w:sz w:val="18"/>
                <w:szCs w:val="18"/>
              </w:rPr>
              <w:t>殊开穴方法或通过毫针特殊手法，治疗疾病，促进疏通经络，调理脏腑</w:t>
            </w:r>
            <w:r>
              <w:rPr>
                <w:rFonts w:hint="default" w:ascii="Times New Roman" w:hAnsi="Times New Roman" w:eastAsia="方正仿宋_GBK" w:cs="Times New Roman"/>
                <w:kern w:val="0"/>
                <w:sz w:val="18"/>
                <w:szCs w:val="18"/>
              </w:rPr>
              <w:t>，扶正祛邪。</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30"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014200000040000</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特殊穴位（部位）针法</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由主治及以下医师根据病情选穴，采用毫针进行特殊穴位的刺激，治疗疾病，促进疏通经络，调理脏腑，扶正祛邪。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所定价格涵盖部位确定、消毒、选针、进针、行针、留针、出针、必要时行仪器辅助操作等过程中所需的人力资源和基本物质资源消耗，含设备投入及维护成本。</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26</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23</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22</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超过2个穴位按2个穴位收费。</w:t>
            </w: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10"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014200000040001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特殊穴位（部位）针法-儿童（加收）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由主治及以下医师根据儿童病情选穴，采用毫针进行特殊穴位的刺激，治疗疾病，促进疏通经络，调理脏腑，扶正祛邪。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85"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014200000040011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特殊穴位（部位）针法-主任医师（加收）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由主任医师根据病情选穴，采用毫针进行特殊穴位的刺激，治疗疾病，促进疏通经络，调理脏腑，扶正祛邪。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90"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014200000040012</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特殊穴位（部位）针法-副主任医师（加收）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由副主任医师根据病情选穴，采用毫针进行特殊穴位的刺激，治疗疾病，促进疏通经络，调理脏腑，扶正祛邪。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95" w:hRule="atLeast"/>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014200000050000</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仪器针法</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由医师根据病情，选择适宜的仪器，通过各类仪器产生电、热、冷、磁、振动、光等各类效应替代针具治疗疾病，促进疏通经络，调理脏腑，扶正祛邪。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所定价格涵盖部位确定、消毒、选针、进针、行针、留针、出针等过程中所需的人力资源和基本物质资源消耗，含设备投入及维护成本。</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21</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18</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2030" w:hRule="atLeast"/>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014200000050001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仪器针法-儿童（加收）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由医师根据儿童病情，选择适宜的仪器，通过各类仪器产生电、热、冷、磁、振动、光等各类效应替代针具治疗疾病，促进疏通经络，调理脏腑，扶正祛邪。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88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6</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014200000060000</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体表针法</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由主治及以下医师根据病情选穴，通过非锐性针具施于体表，配合手法治疗各系统疾病，促进疏通经络，调理脏腑，扶正祛邪。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所定价格涵盖部位确定、选针、体表施治等过程中所需的人力资源和基本物质资源消耗，含设备投入及维护成本。</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21</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18</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00" w:hRule="atLeast"/>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014200000060001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体表针法-儿童（加收）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由主治及以下医师根据儿童病情选穴，通过非锐性针具施于体表，配合手法治疗各系统疾病，促进疏通经络，调理脏腑，扶正祛邪。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60"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014200000060011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体表针法-主任医师（加收）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由主任医师根据病情选穴，通过非锐性针具施于体表，配合手法治疗各系统疾病，促进疏通经络，调理脏腑，扶正祛邪。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95" w:hRule="atLeast"/>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6</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014200000060012</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体表针法-副主任医师（加收）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由副主任医师根据病情选穴，通过非锐性针具施于体表，配合手法治疗各系统疾病，促进疏通经络，调理脏腑，扶正祛邪。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9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7</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014200000070000</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活体生物针法</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由医师根据病情选穴，通过各类活体生物，配合手法，作用于人体，促进疏通经络，调理脏腑，扶正祛邪。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所定价格涵盖部位确定、消毒、活体生物施治等过程中所需的人力资源和基本物质资源消耗。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84</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76</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71</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9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014200000070001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活体生物针法-儿童（加收）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由医师根据儿童病情选穴，通过各类活体生物，配合手法，作用于人体，促进疏通经络，调理脏腑，扶正祛邪。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次•日</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9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8</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014200000080000</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穴位埋入</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由医师根据病情选穴，将相关医用耗材埋入体内，促进疏通经络，气血调和，补虚泻实。</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所定价格涵盖穴位确定、消毒、埋入，处理创口用物所需的人力资源和基本物质资源消耗。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27</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24</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23</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超过5个穴位按5个穴位收费。</w:t>
            </w: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9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014200000080001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穴位埋入-儿童（加收）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由医师根据儿童病情选穴，将相关医用耗材埋入体内，促进疏通经络，气血调和，补虚泻实。</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95" w:hRule="atLeast"/>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9</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014200000090000</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穴位注射</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由医师根据病情选穴，配合手法，进行穴位注射，促进疏通经络，调理脏腑，扶正祛邪。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所定价格涵盖穴位确定、消毒、注射、取针、局部处理等过程中所需的人力资源和基本物质资源消耗。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14</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13</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12</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超过2个穴位按2个穴位收费。</w:t>
            </w: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70"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9</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014200000090001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穴位注射-儿童（加收）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由医师根据儿童病情选穴，配合手法，进行穴位注射，促进疏通经络，调理脏腑，扶正祛邪。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635"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014200000090100</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穴位注射-中医自血疗法（扩展）</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由医师根据病情选穴，配合手法，中医自血疗法，促进疏通经络，调理脏腑，扶正祛邪。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所定价格涵盖穴位确定、消毒、注射、取针、局部处理等过程中所需的人力资源和基本物质资源消耗。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穴位</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14</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13</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12</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2085" w:hRule="atLeast"/>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w:t>
            </w: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014200000100000</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耳穴疗法</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由医务人员根据病情在耳穴表面，通过贴敷颗粒物（如药物或磁珠等），配合适度的手法，促进疏通经络，调理脏腑，扶正祛邪。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所定价格涵盖穴位确定、消毒、贴敷、按压等过程中所需的人力资源和基本物质资源消耗。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单耳</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19</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17</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16</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690" w:hRule="atLeast"/>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014200000100001</w:t>
            </w:r>
          </w:p>
        </w:tc>
        <w:tc>
          <w:tcPr>
            <w:tcW w:w="50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耳穴疗法-儿童（加收）</w:t>
            </w:r>
          </w:p>
        </w:tc>
        <w:tc>
          <w:tcPr>
            <w:tcW w:w="83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由医务人员根据儿童病情在耳穴表面，通过贴敷颗粒物（如药物或磁珠等），配合适度的手法，促进疏通经络，调理脏腑，扶正祛邪。</w:t>
            </w:r>
          </w:p>
        </w:tc>
        <w:tc>
          <w:tcPr>
            <w:tcW w:w="95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单耳</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kern w:val="0"/>
                <w:sz w:val="18"/>
                <w:szCs w:val="18"/>
              </w:rPr>
              <w:t>治疗费</w:t>
            </w:r>
          </w:p>
        </w:tc>
      </w:tr>
    </w:tbl>
    <w:p>
      <w:pPr>
        <w:pStyle w:val="2"/>
        <w:keepNext w:val="0"/>
        <w:keepLines w:val="0"/>
        <w:pageBreakBefore w:val="0"/>
        <w:kinsoku/>
        <w:wordWrap/>
        <w:overflowPunct/>
        <w:topLinePunct w:val="0"/>
        <w:autoSpaceDE/>
        <w:autoSpaceDN/>
        <w:bidi w:val="0"/>
        <w:adjustRightInd/>
        <w:spacing w:before="0" w:beforeAutospacing="0" w:after="0" w:afterAutospacing="0" w:line="240" w:lineRule="auto"/>
        <w:rPr>
          <w:rFonts w:hint="default" w:ascii="Times New Roman" w:hAnsi="Times New Roman" w:cs="Times New Roman"/>
          <w:sz w:val="18"/>
          <w:szCs w:val="18"/>
        </w:rPr>
        <w:sectPr>
          <w:pgSz w:w="16838" w:h="11906" w:orient="landscape"/>
          <w:pgMar w:top="1588" w:right="1985" w:bottom="1588" w:left="1985" w:header="851" w:footer="992" w:gutter="0"/>
          <w:pgNumType w:fmt="decimal"/>
          <w:cols w:space="425" w:num="1"/>
          <w:docGrid w:type="lines" w:linePitch="312" w:charSpace="0"/>
        </w:sect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附件5</w:t>
      </w:r>
    </w:p>
    <w:p>
      <w:pPr>
        <w:keepNext w:val="0"/>
        <w:keepLines w:val="0"/>
        <w:pageBreakBefore w:val="0"/>
        <w:kinsoku/>
        <w:wordWrap/>
        <w:overflowPunct/>
        <w:topLinePunct w:val="0"/>
        <w:autoSpaceDE/>
        <w:autoSpaceDN/>
        <w:bidi w:val="0"/>
        <w:adjustRightInd/>
        <w:snapToGrid w:val="0"/>
        <w:spacing w:beforeAutospacing="0" w:afterAutospacing="0" w:line="240" w:lineRule="auto"/>
        <w:ind w:firstLine="880" w:firstLineChars="200"/>
        <w:jc w:val="center"/>
        <w:rPr>
          <w:rFonts w:hint="default" w:ascii="Times New Roman" w:hAnsi="Times New Roman" w:eastAsia="方正小标宋_GBK" w:cs="Times New Roman"/>
          <w:sz w:val="44"/>
          <w:szCs w:val="44"/>
        </w:rPr>
      </w:pPr>
      <w:bookmarkStart w:id="6" w:name="OLE_LINK7"/>
      <w:r>
        <w:rPr>
          <w:rFonts w:hint="default" w:ascii="Times New Roman" w:hAnsi="Times New Roman" w:eastAsia="方正小标宋_GBK" w:cs="Times New Roman"/>
          <w:sz w:val="44"/>
          <w:szCs w:val="44"/>
        </w:rPr>
        <w:t>整合后中医灸法、拔罐、推拿类医疗服务价格项目表</w:t>
      </w:r>
    </w:p>
    <w:bookmarkEnd w:id="6"/>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b/>
          <w:bCs/>
          <w:kern w:val="0"/>
          <w:sz w:val="32"/>
          <w:szCs w:val="32"/>
        </w:rPr>
      </w:pPr>
      <w:r>
        <w:rPr>
          <w:rFonts w:hint="default" w:ascii="Times New Roman" w:hAnsi="Times New Roman" w:eastAsia="方正仿宋_GBK" w:cs="Times New Roman"/>
          <w:b/>
          <w:bCs/>
          <w:kern w:val="0"/>
          <w:sz w:val="32"/>
          <w:szCs w:val="32"/>
        </w:rPr>
        <w:t>使用说明：</w:t>
      </w:r>
    </w:p>
    <w:p>
      <w:pPr>
        <w:keepNext w:val="0"/>
        <w:keepLines w:val="0"/>
        <w:pageBreakBefore w:val="0"/>
        <w:widowControl/>
        <w:numPr>
          <w:ilvl w:val="0"/>
          <w:numId w:val="2"/>
        </w:numPr>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“灸法”、“拔罐”、“推拿”项目，指中医行业主管部门允许开展，以治疗患者相应症状为目的的中医临床治疗服务。</w:t>
      </w:r>
    </w:p>
    <w:p>
      <w:pPr>
        <w:keepNext w:val="0"/>
        <w:keepLines w:val="0"/>
        <w:pageBreakBefore w:val="0"/>
        <w:widowControl/>
        <w:numPr>
          <w:ilvl w:val="0"/>
          <w:numId w:val="2"/>
        </w:numPr>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“施灸制品”包括但不限于艾条、艾炷、艾箱、艾绒、热敏灸条、雷火针灸条、太乙神针灸条、药灸条等。</w:t>
      </w:r>
    </w:p>
    <w:p>
      <w:pPr>
        <w:keepNext w:val="0"/>
        <w:keepLines w:val="0"/>
        <w:pageBreakBefore w:val="0"/>
        <w:widowControl/>
        <w:numPr>
          <w:ilvl w:val="0"/>
          <w:numId w:val="2"/>
        </w:numPr>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“推拿”项目指以治疗各部位疾病为目的的情况。如医务人员在对头部疾病实施推拿治疗时，涉及对人体肩、颈、足等多个部位推拿，仅可按一次计费。</w:t>
      </w:r>
    </w:p>
    <w:p>
      <w:pPr>
        <w:keepNext w:val="0"/>
        <w:keepLines w:val="0"/>
        <w:pageBreakBefore w:val="0"/>
        <w:widowControl/>
        <w:numPr>
          <w:ilvl w:val="0"/>
          <w:numId w:val="2"/>
        </w:numPr>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“价格构成”指项目价格应涵盖的各类资源消耗，用于确定计价单元的边界，不应作为临床技术标准理解，不是实际操作方式、路径、步骤、程序的强制性要求。</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 xml:space="preserve">5.“基本物耗”指原则上限于不应或不必要与医疗服务项目分割的易耗品，属于医疗服务价格项目应当使用的、市场价格和使用数量相对稳定的医用耗材，包括但不限于各类消杀用品、储存用品、清洁用品、个人防护用品、防烫伤所需用品、垃圾处理用品、棉球、棉签、纱布 （垫）、治疗巾 （单）、标签、操作器具、罐具、包裹单（袋） 等。基本物耗成本计入项目价格，不另行收费。 </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6.“加收项”指同一项目以不同方式提供或在不同场景应用时，确有必要制定差异化收费标准而细分的一类子项。</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32"/>
          <w:szCs w:val="32"/>
        </w:rPr>
      </w:pPr>
      <w:r>
        <w:rPr>
          <w:rFonts w:hint="default" w:ascii="Times New Roman" w:hAnsi="Times New Roman" w:eastAsia="方正仿宋_GBK" w:cs="Times New Roman"/>
          <w:kern w:val="0"/>
          <w:sz w:val="32"/>
          <w:szCs w:val="32"/>
        </w:rPr>
        <w:t>7.“扩展项”指同一项目下以不同方式提供或在不同场景应用时，只扩展价格项目适用范围、不额外加价的一类子项，子项的价格按主项目执行。</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b/>
          <w:bCs/>
          <w:kern w:val="0"/>
          <w:sz w:val="32"/>
          <w:szCs w:val="32"/>
        </w:rPr>
      </w:pPr>
      <w:r>
        <w:rPr>
          <w:rFonts w:hint="default" w:ascii="Times New Roman" w:hAnsi="Times New Roman" w:eastAsia="方正仿宋_GBK" w:cs="Times New Roman"/>
          <w:kern w:val="0"/>
          <w:sz w:val="32"/>
          <w:szCs w:val="32"/>
        </w:rPr>
        <w:t xml:space="preserve">8.“儿童”指6周岁及以下。周岁的计算方法以法律的相关规定为准。   </w:t>
      </w:r>
    </w:p>
    <w:tbl>
      <w:tblPr>
        <w:tblStyle w:val="7"/>
        <w:tblW w:w="4997" w:type="pct"/>
        <w:tblInd w:w="0" w:type="dxa"/>
        <w:tblLayout w:type="autofit"/>
        <w:tblCellMar>
          <w:top w:w="0" w:type="dxa"/>
          <w:left w:w="108" w:type="dxa"/>
          <w:bottom w:w="0" w:type="dxa"/>
          <w:right w:w="108" w:type="dxa"/>
        </w:tblCellMar>
      </w:tblPr>
      <w:tblGrid>
        <w:gridCol w:w="332"/>
        <w:gridCol w:w="1464"/>
        <w:gridCol w:w="1285"/>
        <w:gridCol w:w="2153"/>
        <w:gridCol w:w="2464"/>
        <w:gridCol w:w="454"/>
        <w:gridCol w:w="599"/>
        <w:gridCol w:w="599"/>
        <w:gridCol w:w="605"/>
        <w:gridCol w:w="1898"/>
        <w:gridCol w:w="579"/>
        <w:gridCol w:w="542"/>
      </w:tblGrid>
      <w:tr>
        <w:tblPrEx>
          <w:tblCellMar>
            <w:top w:w="0" w:type="dxa"/>
            <w:left w:w="108" w:type="dxa"/>
            <w:bottom w:w="0" w:type="dxa"/>
            <w:right w:w="108" w:type="dxa"/>
          </w:tblCellMar>
        </w:tblPrEx>
        <w:trPr>
          <w:trHeight w:val="332" w:hRule="atLeast"/>
          <w:tblHeader/>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5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4"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2"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0"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3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3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5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4"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1"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0"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3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650" w:hRule="atLeast"/>
          <w:tblHeader/>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44</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灸法</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r>
      <w:tr>
        <w:tblPrEx>
          <w:tblCellMar>
            <w:top w:w="0" w:type="dxa"/>
            <w:left w:w="108" w:type="dxa"/>
            <w:bottom w:w="0" w:type="dxa"/>
            <w:right w:w="108" w:type="dxa"/>
          </w:tblCellMar>
        </w:tblPrEx>
        <w:trPr>
          <w:trHeight w:val="1320" w:hRule="atLeast"/>
          <w:tblHeader/>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014400000010000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悬空灸</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w:t>
            </w:r>
            <w:r>
              <w:rPr>
                <w:rFonts w:hint="default" w:ascii="Times New Roman" w:hAnsi="Times New Roman" w:eastAsia="方正仿宋_GBK" w:cs="Times New Roman"/>
                <w:spacing w:val="-6"/>
                <w:kern w:val="0"/>
                <w:sz w:val="18"/>
                <w:szCs w:val="18"/>
              </w:rPr>
              <w:t>务人员将施灸制品与皮肤保持一定距离，通过温和的药力和热力进行治疗</w:t>
            </w:r>
            <w:r>
              <w:rPr>
                <w:rFonts w:hint="default" w:ascii="Times New Roman" w:hAnsi="Times New Roman" w:eastAsia="方正仿宋_GBK" w:cs="Times New Roman"/>
                <w:kern w:val="0"/>
                <w:sz w:val="18"/>
                <w:szCs w:val="18"/>
              </w:rPr>
              <w:t>，促进疏通经络，调和阴阳，扶正祛邪，达到治疗疾病的目的。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所定价格涵盖施灸制品制备，点燃，穴位确定，固定或调节距离，熏烤，控制温度，处理用物等所需的人力资源和基本物质资源消耗。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332" w:hRule="atLeast"/>
          <w:tblHeader/>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5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4"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2"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0"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3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3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5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4"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1"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0"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3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945" w:hRule="atLeast"/>
          <w:tblHeader/>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014400000010001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悬空灸-儿童（加收）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由医务人员将施灸制品与儿童皮肤保持一定距离，通过温和的药力和热力进行治疗，促进疏通经络，调和阴阳，扶正祛邪，达到治疗疾病的目的。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885" w:hRule="atLeast"/>
          <w:tblHeader/>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014400000010100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悬空灸-雷火灸 （太乙神针）（扩展）</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由医务人员将雷火灸 （太乙神针）制品与皮肤保持一定距离，通过温和的药力和热力进行治疗，促进疏通经络，调和阴阳，扶正祛邪，达到治疗疾病的目的。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945" w:hRule="atLeast"/>
          <w:tblHeader/>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014400000020000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直接灸</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由医务人员将施灸制品直接作用于皮肤，通过温和的药力和热力进行治疗，促进疏通经络，调和阴阳，扶正祛邪，达到治疗疾病的目的。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所定价格涵盖施灸制品制备，点燃，穴位确定，皮肤消毒，点触、拍打、熨法等方式所需的人力资源和基本物质资源消耗。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37</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014400000020001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直接灸-儿童（加收）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由医务人员将施灸制品直接作用于儿童皮肤，通过温和的药力和热力进行治疗，促进疏通经络，调和阴阳，扶正祛邪，达到治疗疾病的目的。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332" w:hRule="atLeast"/>
          <w:tblHeader/>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5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4"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2"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0"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3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3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5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4"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1"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0"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3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945" w:hRule="atLeast"/>
          <w:tblHeader/>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014400000030000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隔物灸</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由医务人员将施灸制品通过间隔</w:t>
            </w:r>
            <w:r>
              <w:rPr>
                <w:rFonts w:hint="default" w:ascii="Times New Roman" w:hAnsi="Times New Roman" w:eastAsia="方正仿宋_GBK" w:cs="Times New Roman"/>
                <w:spacing w:val="-6"/>
                <w:kern w:val="0"/>
                <w:sz w:val="18"/>
                <w:szCs w:val="18"/>
              </w:rPr>
              <w:t>各类物品实施灸法，通过温和的药力和热力进行治疗，促进疏通经络，调和阴阳，扶正祛邪，达到治疗疾病的目的。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所定价格涵盖间隔物和施灸制品的制备，摆放，点燃，施灸等所需的人力资源和基本物质资源消耗。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43</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39</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37</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“间隔物”包括但不限于新鲜老姜、大蒜、附子饼、盐、其他中药等，同一次治疗用几种间隔物不叠加收费。</w:t>
            </w: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885" w:hRule="atLeast"/>
          <w:tblHeader/>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014400000030001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隔物灸-儿童（加收）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由医务人员将施灸制品通过间隔各类物品对儿童实施灸法，通过温和的药力和热力进行治疗，促进疏通经络，调和阴阳，扶正祛邪，达到治疗疾病的目的。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2020" w:hRule="atLeast"/>
          <w:tblHeader/>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014400000040000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铺灸</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由医务人员将施灸制品对胸腹部、腰背部等平铺灸饼实施灸法，通过温和的药力和热力进行治疗，促进疏通经络，调和阴阳，扶正祛邪，达到治疗疾病的目的。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所定价格涵盖灸饼和施灸制品制备，撒药粉，平铺，放置，点燃，施灸等所需的人力资源和基本物质资源消耗时间成本。</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114</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103</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97</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014400000040001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铺灸-儿童（加收）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由医务人员将施灸制品对儿童胸腹部、腰背部等平铺灸饼实施灸法，通过温和的药力和热力进行治疗，促进疏通经络，调和阴阳，扶正祛邪，达到治疗疾病的目的。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332" w:hRule="atLeast"/>
          <w:tblHeader/>
        </w:trPr>
        <w:tc>
          <w:tcPr>
            <w:tcW w:w="13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6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3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5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4"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22"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40"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32"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6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3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5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4"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0"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1"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40"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32"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290" w:hRule="atLeast"/>
          <w:tblHeader/>
        </w:trPr>
        <w:tc>
          <w:tcPr>
            <w:tcW w:w="13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014400000040002</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铺灸-（督灸 （火龙灸））（加收）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由医务人员将督灸 （火龙灸）制品对胸腹部、腰背部等平铺灸饼实施灸法，通过温和的药力和热力进行治疗，促进疏通经络，调和阴阳，扶正祛邪，达到治疗疾病的目的。</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00" w:hRule="atLeast"/>
          <w:tblHeader/>
        </w:trPr>
        <w:tc>
          <w:tcPr>
            <w:tcW w:w="137"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w:t>
            </w: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014400000050000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由医务人员以罐为工具，利用各类方式方法使之吸附于体表的固定部位进行治疗，促进通经活络，行气活血，祛风散寒。</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所定价格可以涵盖清洁，罐具吸附，观察，撤罐，处理用物所需的人力资源和基本物质资源消耗。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29</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26</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25</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同一次治疗用几种罐具不叠加收费。</w:t>
            </w: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200" w:hRule="atLeast"/>
          <w:tblHeader/>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014400000050001</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中医拔罐-药物罐（加收）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由医务人员以药物罐为工具，利用各类方式方法使之吸附</w:t>
            </w:r>
            <w:r>
              <w:rPr>
                <w:rFonts w:hint="default" w:ascii="Times New Roman" w:hAnsi="Times New Roman" w:eastAsia="方正仿宋_GBK" w:cs="Times New Roman"/>
                <w:spacing w:val="-6"/>
                <w:kern w:val="0"/>
                <w:sz w:val="18"/>
                <w:szCs w:val="18"/>
              </w:rPr>
              <w:t>于体表的固定部位进行治疗，促进通经活络，行气活血，祛风散寒。</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7"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014400000050002</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中医拔罐-水罐（加收）</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由医务人员以水罐为工具，利用各类方式方法使之吸附于体表的固定部位进行治疗，促进通经活络，行气活血，祛风散寒。</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20%</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7"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62"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014400000050100</w:t>
            </w:r>
          </w:p>
        </w:tc>
        <w:tc>
          <w:tcPr>
            <w:tcW w:w="50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中医拔罐-火罐（扩展）</w:t>
            </w:r>
          </w:p>
        </w:tc>
        <w:tc>
          <w:tcPr>
            <w:tcW w:w="83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由医务人员以火罐为工具，利用各类方式方法使之吸附于体表的固定部位进行治疗，促进通经活络，行气活血，祛风散寒。</w:t>
            </w:r>
          </w:p>
        </w:tc>
        <w:tc>
          <w:tcPr>
            <w:tcW w:w="95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所定价格可以涵盖清洁，罐具吸附，观察，撤罐，处理用物所需的人力资源和基本物质资源消耗。</w:t>
            </w:r>
          </w:p>
        </w:tc>
        <w:tc>
          <w:tcPr>
            <w:tcW w:w="184"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29</w:t>
            </w:r>
          </w:p>
        </w:tc>
        <w:tc>
          <w:tcPr>
            <w:tcW w:w="2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26</w:t>
            </w:r>
          </w:p>
        </w:tc>
        <w:tc>
          <w:tcPr>
            <w:tcW w:w="24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25</w:t>
            </w:r>
          </w:p>
        </w:tc>
        <w:tc>
          <w:tcPr>
            <w:tcW w:w="740"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32"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rPr>
      </w:pPr>
    </w:p>
    <w:tbl>
      <w:tblPr>
        <w:tblStyle w:val="7"/>
        <w:tblW w:w="4998" w:type="pct"/>
        <w:tblInd w:w="0" w:type="dxa"/>
        <w:tblLayout w:type="autofit"/>
        <w:tblCellMar>
          <w:top w:w="0" w:type="dxa"/>
          <w:left w:w="108" w:type="dxa"/>
          <w:bottom w:w="0" w:type="dxa"/>
          <w:right w:w="108" w:type="dxa"/>
        </w:tblCellMar>
      </w:tblPr>
      <w:tblGrid>
        <w:gridCol w:w="324"/>
        <w:gridCol w:w="1464"/>
        <w:gridCol w:w="1280"/>
        <w:gridCol w:w="2119"/>
        <w:gridCol w:w="2491"/>
        <w:gridCol w:w="470"/>
        <w:gridCol w:w="558"/>
        <w:gridCol w:w="618"/>
        <w:gridCol w:w="621"/>
        <w:gridCol w:w="1940"/>
        <w:gridCol w:w="546"/>
        <w:gridCol w:w="546"/>
      </w:tblGrid>
      <w:tr>
        <w:tblPrEx>
          <w:tblCellMar>
            <w:top w:w="0" w:type="dxa"/>
            <w:left w:w="108" w:type="dxa"/>
            <w:bottom w:w="0" w:type="dxa"/>
            <w:right w:w="108" w:type="dxa"/>
          </w:tblCellMar>
        </w:tblPrEx>
        <w:trPr>
          <w:trHeight w:val="332" w:hRule="atLeast"/>
          <w:tblHeader/>
        </w:trPr>
        <w:tc>
          <w:tcPr>
            <w:tcW w:w="133"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7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1"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2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6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9"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16"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5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3"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7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1"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2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6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9"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23"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5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425"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5</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014400000050200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中医拔罐-电火罐（扩展）</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由医务人员以电火罐为工具，利用</w:t>
            </w:r>
            <w:r>
              <w:rPr>
                <w:rFonts w:hint="default" w:ascii="Times New Roman" w:hAnsi="Times New Roman" w:eastAsia="方正仿宋_GBK" w:cs="Times New Roman"/>
                <w:spacing w:val="-6"/>
                <w:kern w:val="0"/>
                <w:sz w:val="18"/>
                <w:szCs w:val="18"/>
              </w:rPr>
              <w:t>各类方式方法使之吸附于体表的固定部位进行治疗，促进通经活络，行气活</w:t>
            </w:r>
            <w:r>
              <w:rPr>
                <w:rFonts w:hint="default" w:ascii="Times New Roman" w:hAnsi="Times New Roman" w:eastAsia="方正仿宋_GBK" w:cs="Times New Roman"/>
                <w:kern w:val="0"/>
                <w:sz w:val="18"/>
                <w:szCs w:val="18"/>
              </w:rPr>
              <w:t>血，祛风散寒。</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所定价格可以涵盖清洁，罐具吸附，观察，撤罐，处理用物所需的人力资源和基本物质资源消耗。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29</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00" w:hRule="atLeast"/>
          <w:tblHeader/>
        </w:trPr>
        <w:tc>
          <w:tcPr>
            <w:tcW w:w="133"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014400000050300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中医拔罐-着罐（扩展）</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由医务人员以着罐为工具，利用各类方式方法使之吸附于体表的固定部位进行治疗，促进通经活络，行气活血，祛风散寒。</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所定价格可以涵盖清洁，罐具吸附，观察，撤罐，处理用物所需的人力资源和基本物质资源消耗。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29</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00" w:hRule="atLeast"/>
          <w:tblHeader/>
        </w:trPr>
        <w:tc>
          <w:tcPr>
            <w:tcW w:w="133"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014400000050400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中医拔罐-磁疗罐（扩展）</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由医务人员以磁疗罐为工具，利用各类方式方法使之吸</w:t>
            </w:r>
            <w:r>
              <w:rPr>
                <w:rFonts w:hint="default" w:ascii="Times New Roman" w:hAnsi="Times New Roman" w:eastAsia="方正仿宋_GBK" w:cs="Times New Roman"/>
                <w:spacing w:val="-6"/>
                <w:kern w:val="0"/>
                <w:sz w:val="18"/>
                <w:szCs w:val="18"/>
              </w:rPr>
              <w:t>附于体表的固定部位进行治疗，促进通经活络，行气</w:t>
            </w:r>
            <w:r>
              <w:rPr>
                <w:rFonts w:hint="default" w:ascii="Times New Roman" w:hAnsi="Times New Roman" w:eastAsia="方正仿宋_GBK" w:cs="Times New Roman"/>
                <w:kern w:val="0"/>
                <w:sz w:val="18"/>
                <w:szCs w:val="18"/>
              </w:rPr>
              <w:t>活血，祛风散寒。</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所定价格可以涵盖清洁，罐具吸附，观察，撤罐，处理用物所需的人力资源和基本物质资源消耗。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29</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00" w:hRule="atLeast"/>
          <w:tblHeader/>
        </w:trPr>
        <w:tc>
          <w:tcPr>
            <w:tcW w:w="133"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014400000050500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中医拔罐-真空拔罐（扩展）</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w:t>
            </w:r>
            <w:r>
              <w:rPr>
                <w:rFonts w:hint="default" w:ascii="Times New Roman" w:hAnsi="Times New Roman" w:eastAsia="方正仿宋_GBK" w:cs="Times New Roman"/>
                <w:spacing w:val="-6"/>
                <w:kern w:val="0"/>
                <w:sz w:val="18"/>
                <w:szCs w:val="18"/>
              </w:rPr>
              <w:t>人员以真空拔罐为工具，利用各类方式方法使之吸附于体表的固定部位进行治疗，促进通经活络，行</w:t>
            </w:r>
            <w:r>
              <w:rPr>
                <w:rFonts w:hint="default" w:ascii="Times New Roman" w:hAnsi="Times New Roman" w:eastAsia="方正仿宋_GBK" w:cs="Times New Roman"/>
                <w:kern w:val="0"/>
                <w:sz w:val="18"/>
                <w:szCs w:val="18"/>
              </w:rPr>
              <w:t>气活血，祛风散寒。</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所定价格可以涵盖清洁，罐具吸附，观察，撤罐，处理用物所需的人力资源和基本物质资源消耗。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29</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014400000050600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中医拔罐-电罐（扩展）</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由医务人员以电罐为工具，利用各类方式方法使之吸附于体表的固定部位进行治疗，促进通经活络，行气活血，祛风散寒。</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所定价格可以涵盖清洁，罐具吸附，观察，撤罐，处理用物所需的人力资源和基本物质资源消耗。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29</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332" w:hRule="atLeast"/>
          <w:tblHeader/>
        </w:trPr>
        <w:tc>
          <w:tcPr>
            <w:tcW w:w="133"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7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1"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2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6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9"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16"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5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3"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7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1"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2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6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9"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23"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5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425"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6</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014400000060000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中医走罐</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由医务人员以罐为工具，利用各类方式方法使之吸附于体表的固定部位游走滑动进行治疗，促进通经活络。</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所定价格可以涵盖清洁，涂抹润滑剂，罐具吸附并反复滑动，处理用物所需的人力资源和基本物质资源消耗。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0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014400000060100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中医走罐-平衡罐（扩展）</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由医务人员以罐为工具，利用各类方式方法使之吸附于体表的固定部位游走滑动进行治疗，促进通经活络。</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所定价格可以涵盖清洁，涂抹润滑剂，罐具吸附并反复滑动，处理用物所需的人力资源和基本物质资源消耗。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00" w:hRule="atLeast"/>
          <w:tblHeader/>
        </w:trPr>
        <w:tc>
          <w:tcPr>
            <w:tcW w:w="13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7</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014400000070000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中医闪罐</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由医务人员以罐为工具，利用各类方式方法使之吸附于体表的固定部位，通过反复拔、起，使皮肤反复的紧、松进行治疗，促进通经活络。</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所定价格可以涵盖清洁，罐具吸附并反复拔、起，处理用物所需的人力资源和基本物质资源消耗。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00" w:hRule="atLeast"/>
          <w:tblHeader/>
        </w:trPr>
        <w:tc>
          <w:tcPr>
            <w:tcW w:w="13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jc w:val="left"/>
              <w:rPr>
                <w:rFonts w:hint="default" w:ascii="Times New Roman" w:hAnsi="Times New Roman" w:eastAsia="方正仿宋_GBK" w:cs="Times New Roman"/>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45</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推拿疗法</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每次推拿时间20分钟左右，具体时长按国家卫生健康委发布的技术规范执行。</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p>
        </w:tc>
      </w:tr>
      <w:tr>
        <w:tblPrEx>
          <w:tblCellMar>
            <w:top w:w="0" w:type="dxa"/>
            <w:left w:w="108" w:type="dxa"/>
            <w:bottom w:w="0" w:type="dxa"/>
            <w:right w:w="108" w:type="dxa"/>
          </w:tblCellMar>
        </w:tblPrEx>
        <w:trPr>
          <w:trHeight w:val="1320" w:hRule="atLeast"/>
          <w:tblHeader/>
        </w:trPr>
        <w:tc>
          <w:tcPr>
            <w:tcW w:w="13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014500000010000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头面部疾病推拿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由医务人员遵循经络、穴位，通过各类手法和力道治疗头面部疾病，起到疏通经络、 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332" w:hRule="atLeast"/>
          <w:tblHeader/>
        </w:trPr>
        <w:tc>
          <w:tcPr>
            <w:tcW w:w="133"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7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1"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2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6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9"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16"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5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3"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7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1"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2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6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9"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23"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5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425" w:hRule="atLeast"/>
          <w:tblHeader/>
        </w:trPr>
        <w:tc>
          <w:tcPr>
            <w:tcW w:w="13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014500000010001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头面部疾病推拿-儿童（加收）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由医务人员遵循经络、穴位，通过各类手法和力道治疗儿童头面部疾病，起到疏通经络、 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00"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2</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014500000020000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颈部疾病推拿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由医务人员遵循经络、穴位，通过各类手法和力道治疗颈部疾病，起到疏通经络、理筋整复的作用。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57</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51</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48</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0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014500000020001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颈部疾病推拿-儿童（加收）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由医务人员遵循经络、穴位，通过各类手法和力道治疗儿童颈部疾病，起到疏通经络、理筋整复的作用。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700"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left"/>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3</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014500000030000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脊柱部位疾病推拿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由医务人员遵循经络、穴位，通过各类手法和力道治疗脊柱部位疾病，起到疏通经络、理筋整复的作用。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43</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39</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37</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014500000030001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脊柱部位疾病推拿-寰枢关节推拿（加收）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由医务人员遵循经络、穴位，通过各类手法和力道治疗脊柱部位疾病，推拿寰枢关节，起到疏通经络、理筋整复的作用。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332" w:hRule="atLeast"/>
          <w:tblHeader/>
        </w:trPr>
        <w:tc>
          <w:tcPr>
            <w:tcW w:w="133"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7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1"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2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6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9"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16"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5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3"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7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1"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2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6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9"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23"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5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90" w:hRule="atLeast"/>
          <w:tblHeader/>
        </w:trPr>
        <w:tc>
          <w:tcPr>
            <w:tcW w:w="13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014500000030002</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脊柱部位疾病推拿-儿童（加收）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由医务人员遵循经络、穴位，通过各类手法和力道治疗儿童脊柱部位疾病，推拿寰枢关节，起到疏通经络、理筋整复的作用。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100"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4</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014500000040000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肩部疾病推拿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w:t>
            </w:r>
            <w:r>
              <w:rPr>
                <w:rFonts w:hint="default" w:ascii="Times New Roman" w:hAnsi="Times New Roman" w:eastAsia="方正仿宋_GBK" w:cs="Times New Roman"/>
                <w:spacing w:val="-6"/>
                <w:kern w:val="0"/>
                <w:sz w:val="18"/>
                <w:szCs w:val="18"/>
              </w:rPr>
              <w:t>遵循经络、穴位，通过各类手法和力道治疗肩周</w:t>
            </w:r>
            <w:r>
              <w:rPr>
                <w:rFonts w:hint="default" w:ascii="Times New Roman" w:hAnsi="Times New Roman" w:eastAsia="方正仿宋_GBK" w:cs="Times New Roman"/>
                <w:spacing w:val="-11"/>
                <w:kern w:val="0"/>
                <w:sz w:val="18"/>
                <w:szCs w:val="18"/>
              </w:rPr>
              <w:t>炎部疾病，起到疏通经络、理筋整复的作用。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单侧</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53</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48</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23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014500000040001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肩部疾病推拿-儿童（加收）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由医务人员遵循经络、穴位，通过各类手法和力道治疗儿童肩周炎部疾病，起到疏通经络、理筋整复的作用。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单侧</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5"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5</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014500000050000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背部疾病推拿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由医务人员遵循经络、穴位，通过各类手法和力道治疗背部疾病，起到疏通经络、理筋整复的作用。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014500000050001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背部疾病推拿-儿童（加收）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w:t>
            </w:r>
            <w:r>
              <w:rPr>
                <w:rFonts w:hint="default" w:ascii="Times New Roman" w:hAnsi="Times New Roman" w:eastAsia="方正仿宋_GBK" w:cs="Times New Roman"/>
                <w:spacing w:val="-6"/>
                <w:kern w:val="0"/>
                <w:sz w:val="18"/>
                <w:szCs w:val="18"/>
              </w:rPr>
              <w:t>务人员遵循经络、穴位，通过各类手法和力道治疗儿</w:t>
            </w:r>
            <w:r>
              <w:rPr>
                <w:rFonts w:hint="default" w:ascii="Times New Roman" w:hAnsi="Times New Roman" w:eastAsia="方正仿宋_GBK" w:cs="Times New Roman"/>
                <w:spacing w:val="-11"/>
                <w:kern w:val="0"/>
                <w:sz w:val="18"/>
                <w:szCs w:val="18"/>
              </w:rPr>
              <w:t>童背部疾病，起到疏通经</w:t>
            </w:r>
            <w:r>
              <w:rPr>
                <w:rFonts w:hint="default" w:ascii="Times New Roman" w:hAnsi="Times New Roman" w:eastAsia="方正仿宋_GBK" w:cs="Times New Roman"/>
                <w:spacing w:val="-6"/>
                <w:kern w:val="0"/>
                <w:sz w:val="18"/>
                <w:szCs w:val="18"/>
              </w:rPr>
              <w:t>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565" w:hRule="atLeast"/>
          <w:tblHeader/>
        </w:trPr>
        <w:tc>
          <w:tcPr>
            <w:tcW w:w="13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6</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014500000060000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腰部疾病推拿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由医务人员遵循经络、穴位，通过各类手法和力道治疗腰部疾病，起到疏通经络、理筋整复的作用。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79</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71</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67</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332" w:hRule="atLeast"/>
          <w:tblHeader/>
        </w:trPr>
        <w:tc>
          <w:tcPr>
            <w:tcW w:w="133"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7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1"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2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6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9"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16"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5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3"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7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1"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2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6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9"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23"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5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390" w:hRule="atLeast"/>
          <w:tblHeader/>
        </w:trPr>
        <w:tc>
          <w:tcPr>
            <w:tcW w:w="13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6</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014500000060001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腰部疾病推拿-儿童（加收）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w:t>
            </w:r>
            <w:r>
              <w:rPr>
                <w:rFonts w:hint="default" w:ascii="Times New Roman" w:hAnsi="Times New Roman" w:eastAsia="方正仿宋_GBK" w:cs="Times New Roman"/>
                <w:spacing w:val="-6"/>
                <w:kern w:val="0"/>
                <w:sz w:val="18"/>
                <w:szCs w:val="18"/>
              </w:rPr>
              <w:t>循经络、穴位，通过各类手法和力道治疗儿童腰部疾病，起到疏通经络、理筋整复的作用。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445"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7</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014500000070000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髋骶部疾病推拿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由医务人员遵循经络、穴位，通过各类手法和力道治疗髋骶部疾病， 以起到疏通经络、理筋整复的作用。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所定价格涵盖应用各类推拿手法或特殊推拿技术或辅助器械，审证</w:t>
            </w:r>
            <w:r>
              <w:rPr>
                <w:rFonts w:hint="default" w:ascii="Times New Roman" w:hAnsi="Times New Roman" w:eastAsia="方正仿宋_GBK" w:cs="Times New Roman"/>
                <w:spacing w:val="-6"/>
                <w:kern w:val="0"/>
                <w:sz w:val="18"/>
                <w:szCs w:val="18"/>
              </w:rPr>
              <w:t>求因、确定病位、动静结合、精准施治所需的人力资源和</w:t>
            </w:r>
            <w:r>
              <w:rPr>
                <w:rFonts w:hint="default" w:ascii="Times New Roman" w:hAnsi="Times New Roman" w:eastAsia="方正仿宋_GBK" w:cs="Times New Roman"/>
                <w:kern w:val="0"/>
                <w:sz w:val="18"/>
                <w:szCs w:val="18"/>
              </w:rPr>
              <w:t>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64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014500000070001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髋骶部疾病推拿-儿童（加收）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由医务人员遵循经络、穴位，通过各类手法和力道治疗儿童髋骶部疾病， 以起到疏通经络、理筋整复的作用。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50"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8</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014500000080000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四肢部位疾病推拿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由医务人员遵循经络、穴位，通过各类手法和力道治疗四肢部位疾病，起到疏通经络、理筋整复的作用。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单肢</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29</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014500000080001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四肢部位疾病推拿-儿童（加收）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由医务人员遵循经络、穴位，通过各类手法和力道治疗儿童四肢部位疾病，起到疏通经络、理筋整复的作用。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单肢</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332" w:hRule="atLeast"/>
          <w:tblHeader/>
        </w:trPr>
        <w:tc>
          <w:tcPr>
            <w:tcW w:w="133"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序号</w:t>
            </w:r>
          </w:p>
        </w:tc>
        <w:tc>
          <w:tcPr>
            <w:tcW w:w="47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项目代码</w:t>
            </w:r>
          </w:p>
        </w:tc>
        <w:tc>
          <w:tcPr>
            <w:tcW w:w="501"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项目名称</w:t>
            </w:r>
          </w:p>
        </w:tc>
        <w:tc>
          <w:tcPr>
            <w:tcW w:w="824"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服务产出</w:t>
            </w:r>
          </w:p>
        </w:tc>
        <w:tc>
          <w:tcPr>
            <w:tcW w:w="967"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价格构成</w:t>
            </w:r>
          </w:p>
        </w:tc>
        <w:tc>
          <w:tcPr>
            <w:tcW w:w="189" w:type="pct"/>
            <w:vMerge w:val="restart"/>
            <w:tcBorders>
              <w:top w:val="single" w:color="000000" w:sz="4" w:space="0"/>
              <w:left w:val="single" w:color="000000"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单位</w:t>
            </w:r>
          </w:p>
        </w:tc>
        <w:tc>
          <w:tcPr>
            <w:tcW w:w="716" w:type="pct"/>
            <w:gridSpan w:val="3"/>
            <w:tcBorders>
              <w:top w:val="single" w:color="000000" w:sz="4" w:space="0"/>
              <w:left w:val="single" w:color="000000" w:sz="4" w:space="0"/>
              <w:bottom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价格（元）</w:t>
            </w:r>
          </w:p>
        </w:tc>
        <w:tc>
          <w:tcPr>
            <w:tcW w:w="755"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计价说明</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支付</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c>
          <w:tcPr>
            <w:tcW w:w="218" w:type="pct"/>
            <w:vMerge w:val="restart"/>
            <w:tcBorders>
              <w:top w:val="single" w:color="000000" w:sz="4" w:space="0"/>
              <w:left w:val="single" w:color="000000"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统计</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kern w:val="0"/>
                <w:sz w:val="18"/>
                <w:szCs w:val="18"/>
              </w:rPr>
              <w:t>分类</w:t>
            </w:r>
          </w:p>
        </w:tc>
      </w:tr>
      <w:tr>
        <w:tblPrEx>
          <w:tblCellMar>
            <w:top w:w="0" w:type="dxa"/>
            <w:left w:w="108" w:type="dxa"/>
            <w:bottom w:w="0" w:type="dxa"/>
            <w:right w:w="108" w:type="dxa"/>
          </w:tblCellMar>
        </w:tblPrEx>
        <w:trPr>
          <w:trHeight w:val="795" w:hRule="atLeast"/>
          <w:tblHeader/>
        </w:trPr>
        <w:tc>
          <w:tcPr>
            <w:tcW w:w="133"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47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501"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824"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967"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189" w:type="pct"/>
            <w:vMerge w:val="continue"/>
            <w:tcBorders>
              <w:left w:val="single" w:color="000000" w:sz="4" w:space="0"/>
              <w:bottom w:val="single" w:color="auto" w:sz="4" w:space="0"/>
              <w:right w:val="single" w:color="000000"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23"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三级公立医疗机构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二级公立医疗机构</w:t>
            </w:r>
          </w:p>
        </w:tc>
        <w:tc>
          <w:tcPr>
            <w:tcW w:w="246" w:type="pct"/>
            <w:tcBorders>
              <w:top w:val="single" w:color="000000" w:sz="4" w:space="0"/>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755"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c>
          <w:tcPr>
            <w:tcW w:w="218" w:type="pct"/>
            <w:vMerge w:val="continue"/>
            <w:tcBorders>
              <w:left w:val="single" w:color="000000" w:sz="4" w:space="0"/>
              <w:bottom w:val="single" w:color="auto" w:sz="4" w:space="0"/>
              <w:right w:val="single" w:color="000000"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kern w:val="0"/>
                <w:sz w:val="18"/>
                <w:szCs w:val="18"/>
              </w:rPr>
            </w:pPr>
          </w:p>
        </w:tc>
      </w:tr>
      <w:tr>
        <w:tblPrEx>
          <w:tblCellMar>
            <w:top w:w="0" w:type="dxa"/>
            <w:left w:w="108" w:type="dxa"/>
            <w:bottom w:w="0" w:type="dxa"/>
            <w:right w:w="108" w:type="dxa"/>
          </w:tblCellMar>
        </w:tblPrEx>
        <w:trPr>
          <w:trHeight w:val="1390"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9</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014500000090000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脏腑疾病推拿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由医务人员遵循经络、穴位，通过各类手法和力道治疗脏腑疾病，起到疏通经络、理筋整复的作用。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90" w:hRule="atLeast"/>
          <w:tblHeader/>
        </w:trPr>
        <w:tc>
          <w:tcPr>
            <w:tcW w:w="133" w:type="pct"/>
            <w:vMerge w:val="continue"/>
            <w:tcBorders>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014500000090001</w:t>
            </w:r>
          </w:p>
        </w:tc>
        <w:tc>
          <w:tcPr>
            <w:tcW w:w="501"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脏腑疾病推拿-儿童（加收）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由医务人员遵循经络、穴位，通过各类手法和力道治疗脏腑疾病，起到疏通经络、理筋整复的作用。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90" w:hRule="atLeast"/>
          <w:tblHeader/>
        </w:trPr>
        <w:tc>
          <w:tcPr>
            <w:tcW w:w="133" w:type="pc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10</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014500000100000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乳房疾病推拿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由医务人员遵循经络、穴位，通过各类手法和力道治疗产后乳房疾病，以起到疏通经络、理筋整复的作用。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所定价格涵盖应用各类推拿手法或特殊推拿技术或辅助器械，审证求因、确定病位、动静结合、精准施治所需的人力资源和基本物质资源消耗。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单侧</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3</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550" w:hRule="atLeast"/>
          <w:tblHeader/>
        </w:trPr>
        <w:tc>
          <w:tcPr>
            <w:tcW w:w="133" w:type="pct"/>
            <w:vMerge w:val="restart"/>
            <w:tcBorders>
              <w:top w:val="single" w:color="auto" w:sz="4" w:space="0"/>
              <w:left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11</w:t>
            </w: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014500000110000</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中枢神经系统疾病推拿</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由医务人员遵循经络、穴位，通过各类手法和力道治疗中枢神经系统疾病， 以起到疏通经络、理筋整复的作用。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所定价格涵盖应用各类推拿手法或辅助器械，完成操作所需的人力资源和基本物质资源消耗。</w:t>
            </w: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65</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59</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55</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r>
        <w:tblPrEx>
          <w:tblCellMar>
            <w:top w:w="0" w:type="dxa"/>
            <w:left w:w="108" w:type="dxa"/>
            <w:bottom w:w="0" w:type="dxa"/>
            <w:right w:w="108" w:type="dxa"/>
          </w:tblCellMar>
        </w:tblPrEx>
        <w:trPr>
          <w:trHeight w:val="1320" w:hRule="atLeast"/>
          <w:tblHeader/>
        </w:trPr>
        <w:tc>
          <w:tcPr>
            <w:tcW w:w="133" w:type="pct"/>
            <w:vMerge w:val="continue"/>
            <w:tcBorders>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p>
        </w:tc>
        <w:tc>
          <w:tcPr>
            <w:tcW w:w="47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014500000110001</w:t>
            </w:r>
          </w:p>
        </w:tc>
        <w:tc>
          <w:tcPr>
            <w:tcW w:w="501"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中枢神经系统疾病推拿-儿童（加收）</w:t>
            </w:r>
          </w:p>
        </w:tc>
        <w:tc>
          <w:tcPr>
            <w:tcW w:w="824"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由医务人员遵循经络、穴位，通过各类手法和力道治疗儿童中枢神经系统疾病， 以起到疏通经络、理筋整复的作用。</w:t>
            </w:r>
          </w:p>
        </w:tc>
        <w:tc>
          <w:tcPr>
            <w:tcW w:w="967"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189"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次</w:t>
            </w:r>
          </w:p>
        </w:tc>
        <w:tc>
          <w:tcPr>
            <w:tcW w:w="223"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46"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755" w:type="pc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kern w:val="0"/>
                <w:sz w:val="18"/>
                <w:szCs w:val="18"/>
              </w:rPr>
            </w:pP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1</w:t>
            </w:r>
          </w:p>
        </w:tc>
        <w:tc>
          <w:tcPr>
            <w:tcW w:w="218"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kern w:val="0"/>
                <w:sz w:val="18"/>
                <w:szCs w:val="18"/>
              </w:rPr>
            </w:pPr>
            <w:r>
              <w:rPr>
                <w:rFonts w:hint="default" w:ascii="Times New Roman" w:hAnsi="Times New Roman" w:eastAsia="方正仿宋_GBK" w:cs="Times New Roman"/>
                <w:kern w:val="0"/>
                <w:sz w:val="18"/>
                <w:szCs w:val="18"/>
              </w:rPr>
              <w:t>治疗费</w:t>
            </w:r>
          </w:p>
        </w:tc>
      </w:tr>
    </w:tbl>
    <w:p>
      <w:pPr>
        <w:keepNext w:val="0"/>
        <w:keepLines w:val="0"/>
        <w:pageBreakBefore w:val="0"/>
        <w:kinsoku/>
        <w:wordWrap/>
        <w:overflowPunct/>
        <w:topLinePunct w:val="0"/>
        <w:autoSpaceDE/>
        <w:autoSpaceDN/>
        <w:bidi w:val="0"/>
        <w:adjustRightInd/>
        <w:spacing w:beforeAutospacing="0" w:afterAutospacing="0" w:line="240" w:lineRule="auto"/>
        <w:jc w:val="left"/>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jc w:val="left"/>
        <w:rPr>
          <w:rFonts w:hint="default" w:ascii="Times New Roman" w:hAnsi="Times New Roman" w:eastAsia="方正仿宋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jc w:val="left"/>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附件6</w:t>
      </w:r>
    </w:p>
    <w:p>
      <w:pPr>
        <w:keepNext w:val="0"/>
        <w:keepLines w:val="0"/>
        <w:pageBreakBefore w:val="0"/>
        <w:kinsoku/>
        <w:wordWrap/>
        <w:overflowPunct/>
        <w:topLinePunct w:val="0"/>
        <w:autoSpaceDE/>
        <w:autoSpaceDN/>
        <w:bidi w:val="0"/>
        <w:adjustRightInd/>
        <w:spacing w:beforeAutospacing="0" w:afterAutospacing="0" w:line="240" w:lineRule="auto"/>
        <w:ind w:firstLine="4400" w:firstLineChars="1000"/>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废止医疗服务价格项目表</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rPr>
      </w:pP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924"/>
        <w:gridCol w:w="2283"/>
        <w:gridCol w:w="2000"/>
        <w:gridCol w:w="1247"/>
        <w:gridCol w:w="450"/>
        <w:gridCol w:w="642"/>
        <w:gridCol w:w="566"/>
        <w:gridCol w:w="738"/>
        <w:gridCol w:w="598"/>
        <w:gridCol w:w="2208"/>
        <w:gridCol w:w="403"/>
        <w:gridCol w:w="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88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77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8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175"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88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77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8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75"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311202014</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新生儿量表检查</w:t>
            </w:r>
          </w:p>
        </w:tc>
        <w:tc>
          <w:tcPr>
            <w:tcW w:w="77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p>
        </w:tc>
        <w:tc>
          <w:tcPr>
            <w:tcW w:w="48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7.6</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311202015</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新生儿行为测定</w:t>
            </w:r>
          </w:p>
        </w:tc>
        <w:tc>
          <w:tcPr>
            <w:tcW w:w="77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包括神经反应测评。</w:t>
            </w:r>
          </w:p>
        </w:tc>
        <w:tc>
          <w:tcPr>
            <w:tcW w:w="48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9.5</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311501001</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精神科A类量表测查</w:t>
            </w:r>
          </w:p>
        </w:tc>
        <w:tc>
          <w:tcPr>
            <w:tcW w:w="77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8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19</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测查时间30分钟以内，使用电脑自测的量表加收50%。</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311501002</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精神科B类量表测查</w:t>
            </w:r>
          </w:p>
        </w:tc>
        <w:tc>
          <w:tcPr>
            <w:tcW w:w="77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8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测查时间30—60分钟，使用电脑自测的量表加收50%。</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311501003</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精神科C类量表测查</w:t>
            </w:r>
          </w:p>
        </w:tc>
        <w:tc>
          <w:tcPr>
            <w:tcW w:w="77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8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57</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54</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51</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测查时间60分钟以上，使用电脑自测的量表加收50%。</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311502001</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套瓦（TOVA）注意力竞量测试</w:t>
            </w:r>
          </w:p>
        </w:tc>
        <w:tc>
          <w:tcPr>
            <w:tcW w:w="77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8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330404008</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翼状胬肉切除+角膜移植术</w:t>
            </w:r>
          </w:p>
        </w:tc>
        <w:tc>
          <w:tcPr>
            <w:tcW w:w="77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包括角膜肿物切除+角膜移植术。</w:t>
            </w:r>
          </w:p>
        </w:tc>
        <w:tc>
          <w:tcPr>
            <w:tcW w:w="48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535</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405</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306</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干细胞移植加收200元。</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330404010</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角膜移植术</w:t>
            </w:r>
          </w:p>
        </w:tc>
        <w:tc>
          <w:tcPr>
            <w:tcW w:w="77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穿透、板层分别参照执行。</w:t>
            </w:r>
          </w:p>
        </w:tc>
        <w:tc>
          <w:tcPr>
            <w:tcW w:w="48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w:t>
            </w: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1140</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1080</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864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816</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干细胞移植加收200元。</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330404012</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羊膜移植联合视网膜复位术</w:t>
            </w:r>
          </w:p>
        </w:tc>
        <w:tc>
          <w:tcPr>
            <w:tcW w:w="77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8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330406016</w:t>
            </w:r>
          </w:p>
        </w:tc>
        <w:tc>
          <w:tcPr>
            <w:tcW w:w="8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穿透性角膜移植联合白内障囊外摘除及人工晶体植入术（三联术）</w:t>
            </w:r>
          </w:p>
        </w:tc>
        <w:tc>
          <w:tcPr>
            <w:tcW w:w="77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8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w:t>
            </w:r>
            <w:r>
              <w:rPr>
                <w:rFonts w:hint="default" w:ascii="Times New Roman" w:hAnsi="Times New Roman" w:eastAsia="方正仿宋_GBK" w:cs="Times New Roman"/>
                <w:color w:val="000000"/>
                <w:spacing w:val="-6"/>
                <w:kern w:val="0"/>
                <w:sz w:val="18"/>
                <w:szCs w:val="18"/>
              </w:rPr>
              <w:t>体角膜、人工角膜、人工晶体、无损伤</w:t>
            </w:r>
            <w:r>
              <w:rPr>
                <w:rFonts w:hint="default" w:ascii="Times New Roman" w:hAnsi="Times New Roman" w:eastAsia="方正仿宋_GBK" w:cs="Times New Roman"/>
                <w:color w:val="000000"/>
                <w:kern w:val="0"/>
                <w:sz w:val="18"/>
                <w:szCs w:val="18"/>
              </w:rPr>
              <w:t>特殊缝线、粘弹剂</w:t>
            </w:r>
          </w:p>
        </w:tc>
        <w:tc>
          <w:tcPr>
            <w:tcW w:w="175"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4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1710</w:t>
            </w:r>
          </w:p>
        </w:tc>
        <w:tc>
          <w:tcPr>
            <w:tcW w:w="22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1620</w:t>
            </w:r>
          </w:p>
        </w:tc>
        <w:tc>
          <w:tcPr>
            <w:tcW w:w="28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1296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1224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4"/>
        <w:gridCol w:w="1024"/>
        <w:gridCol w:w="2356"/>
        <w:gridCol w:w="1798"/>
        <w:gridCol w:w="1281"/>
        <w:gridCol w:w="509"/>
        <w:gridCol w:w="637"/>
        <w:gridCol w:w="657"/>
        <w:gridCol w:w="631"/>
        <w:gridCol w:w="587"/>
        <w:gridCol w:w="2201"/>
        <w:gridCol w:w="395"/>
        <w:gridCol w:w="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330702012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肺移植术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不含供肺切取及保存和运输。</w:t>
            </w: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供体</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330702014</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供肺切除术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含修整术。</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330803020</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心脏移植术</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330803021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心肺移植术</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331003010</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小肠移植术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331005017</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异体供肝切除术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含修整术。</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2850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2700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2160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2040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331005018</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肝移植术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含全肝切除术。</w:t>
            </w: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9975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9450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7560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7140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331005019</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移植肝切除术+再移植术</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11400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10800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8640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8160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331005020</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器官联合移植术</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14250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13500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10800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10200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331007014</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异体供胰切除术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含修整术。</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331007015</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胰腺移植术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包括胎儿胰腺移植术。</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331007016</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异位异体移植胰腺切除术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指移植胰腺失败</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331101019</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异体肾移植术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不含异体肾取肾术</w:t>
            </w: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1710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1620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1296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1224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331101020</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异体供肾取肾术</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1069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1013</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810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765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331101021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供体肾修复术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灌注肾脏，维持灌洗液低温，分离肾动静脉，保留肾门及肾下极脂肪，保留输尿管系膜，检查肾血管是否有破口。</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713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675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540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510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340200003</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日常生活能力评定</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对患者的个人卫生、进食、更衣、排泄、入浴、器具使用、床上运动、移动、步行、交流以及自助具的使用进行评定。人工报告。</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限本目录所列康复项目在具体实施中涉及的日常生活能力评定。</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340200008</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言语能力评定</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包括一般失语症检查、构音障碍检查、言语失用检查。</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340200009</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失语症检查</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340200012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认知知觉功能检查</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包括计算定向思维推理检查</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限器质性病变导致的认知知觉功能障碍。</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340200013</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记忆力评定</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包括成人记忆成套测试</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340200014</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失认、失用评定</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340200016</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记忆广度检查</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贴敷疗法</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每个</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创面</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410000002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中药化腐清创术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每个</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创面</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410000003</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中药涂擦治疗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10%体表面积</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410000004</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中药热奄包治疗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每个</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410000005</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中药封包治疗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每个</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410000006</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中药熏洗治疗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21</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与“中药蒸汽浴治疗、中药熏药治疗”不能同时收取。</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410000007</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中药蒸汽浴治疗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每次30分钟，超过30分钟加收10元。与“中药熏洗治疗、中药熏药治疗”不能同时收取。</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410000008</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中药塌渍治疗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10%体表面积</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大于全身表面积10%加收10元。</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410000009</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中药熏药治疗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与“中药熏洗治疗、中药蒸汽浴治疗”不能同时收取。</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410000010</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赘生物中药腐蚀治疗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每个赘生物</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410000011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挑治</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410000013</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甲床放血治疗术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指穿透甲板，放出甲下积血。</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每甲</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460000012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结肠水疗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包括结肠灌洗治疗和肠腔内给药</w:t>
            </w: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药物、一次性结肠透析管</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470000008</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药线引流治疗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药物</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3公分</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470000009</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耳咽中药吹粉治疗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药物</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470000010</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中药硬膏热贴敷治疗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药物</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470000011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中药直肠滴入治疗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含药物调配。</w:t>
            </w: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药物</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470000012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刮痧治疗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每个</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470000013</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烫熨治疗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每个</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470000015</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体表瘘管切开搔爬术</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耳前瘘管、乳腺瘘管分别参照执行。</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91</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68</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AAEE0001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营养风险筛查</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限ICU病房使用，每周收费不超过1次，不得与营养状况评估与咨询费、诊察费同时收取。</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FAY04711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婴儿全身运动质量评估（GMs）</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FAY04712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Frail量表老年衰弱评估</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应用于老年人群进行衰弱筛查和评估，预测老年人对治疗的反应和临床负性事件的发生。</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MAZZY001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疼痛综合评定</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进行麦吉尔疼痛问卷评定，视觉模拟评分</w:t>
            </w:r>
            <w:r>
              <w:rPr>
                <w:rFonts w:hint="default" w:ascii="Times New Roman" w:hAnsi="Times New Roman" w:eastAsia="方正仿宋_GBK" w:cs="Times New Roman"/>
                <w:color w:val="000000"/>
                <w:spacing w:val="-6"/>
                <w:kern w:val="0"/>
                <w:sz w:val="18"/>
                <w:szCs w:val="18"/>
              </w:rPr>
              <w:t>法评定，慢性疼痛状况分级等，对患者疼痛的部位、程度、性质、</w:t>
            </w:r>
            <w:r>
              <w:rPr>
                <w:rFonts w:hint="default" w:ascii="Times New Roman" w:hAnsi="Times New Roman" w:eastAsia="方正仿宋_GBK" w:cs="Times New Roman"/>
                <w:color w:val="000000"/>
                <w:kern w:val="0"/>
                <w:sz w:val="18"/>
                <w:szCs w:val="18"/>
              </w:rPr>
              <w:t>频率和对日常生活的影响等方面进行综合评定。人工报告。</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20</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具有临床路径或诊疗规范支持性依据方可提供服务，一个住院周期收费不超过3次。</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PBBA1101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中医定向透药治疗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在定向药透仪的导引下，将治病或镇痛的药物直接从皮肤定向地送到组织伤害的病灶部位。</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普通针刺</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使用普通毫针，选择一般常用腧穴1-20个，根据病情及腧穴特点选择进针的深度、角度及刺激量，取得所需针感，采用单式补泻手法，决定是否留针、如何留针。</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PBCA0102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特殊穴位针刺</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收取“特殊穴位针刺”费后不再收取“普通针刺”费。</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PBCA0103</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特殊手法针刺</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收取“特殊手法针刺”费后不再收取“普通针刺”费。</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PBCA0104</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针刺运动治疗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头针治疗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PBCA0301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耳针治疗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PBCA0401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眼针治疗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PBCA0501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面针治疗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PBCA0601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鼻针治疗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23</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PBCA0701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鼻腔针刺治疗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PBCA0801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口针治疗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PBCA0901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舌针治疗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腹针治疗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手针治疗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腕踝针治疗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项针治疗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夹脊针治疗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芒针治疗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3个</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穴位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21</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19</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计价最多不超过6个穴位。</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梅花针治疗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22</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19</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火针治疗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PBCA1801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锋钩针治疗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计价最多不超过3个部位。每个穴位或每个反应点为一个部位。</w:t>
            </w: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PBCA1901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镵针治疗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bl>
      <w:tblPr>
        <w:tblStyle w:val="8"/>
        <w:tblpPr w:leftFromText="180" w:rightFromText="180" w:vertAnchor="text" w:horzAnchor="page" w:tblpX="1890" w:tblpY="246"/>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9"/>
        <w:gridCol w:w="945"/>
        <w:gridCol w:w="2363"/>
        <w:gridCol w:w="1805"/>
        <w:gridCol w:w="1288"/>
        <w:gridCol w:w="514"/>
        <w:gridCol w:w="645"/>
        <w:gridCol w:w="663"/>
        <w:gridCol w:w="637"/>
        <w:gridCol w:w="598"/>
        <w:gridCol w:w="2208"/>
        <w:gridCol w:w="400"/>
        <w:gridCol w:w="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blHeader/>
        </w:trPr>
        <w:tc>
          <w:tcPr>
            <w:tcW w:w="20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9"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6"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6"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trPr>
        <w:tc>
          <w:tcPr>
            <w:tcW w:w="20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9"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0"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6"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80</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PBCA2001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杵针治疗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81</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PBCA2101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圆针治疗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19</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82</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PBCA2201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蜂针治疗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68</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83</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PBCA2301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金针治疗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21</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84</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PBCA2401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微波针治疗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PBCA2501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普通电针治疗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收取“普通电针治疗”费后不再收取“普通针刺”、“特殊穴位针刺”、“特殊手法针刺”费。</w:t>
            </w: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86</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PBCA2502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电冷针灸治疗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87</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PBCA2503</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电火针治疗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88</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PBCA2504</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电热针灸治疗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89</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PBCA2505</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模拟针刺手法电针治疗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90</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PBCB0101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艾条灸治疗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91</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PBCB0201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直接灸治疗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6"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0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92</w:t>
            </w:r>
          </w:p>
        </w:tc>
        <w:tc>
          <w:tcPr>
            <w:tcW w:w="339"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PBCB0301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隔物灸治疗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同一次治疗用几种间隔物不叠加收费。</w:t>
            </w:r>
          </w:p>
        </w:tc>
        <w:tc>
          <w:tcPr>
            <w:tcW w:w="156"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3"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955"/>
        <w:gridCol w:w="2362"/>
        <w:gridCol w:w="1803"/>
        <w:gridCol w:w="1286"/>
        <w:gridCol w:w="514"/>
        <w:gridCol w:w="643"/>
        <w:gridCol w:w="663"/>
        <w:gridCol w:w="637"/>
        <w:gridCol w:w="593"/>
        <w:gridCol w:w="2207"/>
        <w:gridCol w:w="401"/>
        <w:gridCol w:w="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PBCB0401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温灸器灸法</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PBCB0501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温针灸治疗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收取“温针灸治疗”费后不再收取“普通针刺”费。</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PBCB0601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天灸治疗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同一次治疗用几种药物不叠加收费。</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PBCB0701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灯火灸治疗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PBCB0801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药线点灸治疗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PBCB0901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督灸治疗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PBCB1001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大灸治疗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81</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PBCB1101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雷火灸治疗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PBCB1201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太乙神针灸治疗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PBCC0101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普通拔罐治疗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PBCC0201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走罐治疗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PBCC0301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水罐治疗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PBCC0401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磁罐治疗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不再收取“普通拔罐治疗”费。</w:t>
            </w: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PBCC0501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电罐治疗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PBCC0601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电火罐治疗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PBCC0701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真空罐治疗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选用真空罐，通过抽气使罐内形成负压，将罐吸拔并留置于皮肤治疗疾病。</w:t>
            </w: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不再收取“普通拔罐治疗”费。带磁真空罐，不再收取“磁罐治疗”费。</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PBCD0101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穴位放血治疗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PBCD0102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静脉放血治疗</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计价最多不超过3个部位。</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穴位埋线治疗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特殊缝线</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23</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21</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计价最多不超过5个部位。每个穴位或每个反应点为一个部位。每次限收套管针埋线法、埋线针埋线法、医用缝合针埋线法的一种。</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穴位注射治疗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穴位贴敷治疗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68</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浮针治疗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计价最多不超过3个部位。每个反应点为一个部位。</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普通滚针治疗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PBCD0602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电滚针治疗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磁针治疗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PBCD0801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皮内针治疗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计价最多不超过8个部位。每个穴位或每个反应点为一个部位。</w:t>
            </w: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PBCD0901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激光针治疗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PBCD1001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割治</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43</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计价最多不超过3个部位。</w:t>
            </w: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PBCD1101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针刺麻醉</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PBCD1201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经络穴位测评治疗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PBCD1301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子午流注开穴法</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PBCD1302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灵龟八法开穴法</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PBCD1303</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飞腾八法开穴法</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PBCD1401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耳穴压丸治疗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磁珠</w:t>
            </w: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颈椎病推拿治疗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38</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寰枢关节失稳推拿治疗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此项不得与“颈椎小关节紊乱推拿治疗”同时收取。</w:t>
            </w: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PBDA0301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颈椎小关节紊乱推拿治疗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38</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此项不得与“寰枢关节失稳推拿治疗”同时收取。</w:t>
            </w: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PBDA0401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胸椎小关节紊乱推拿治疗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PBDA0501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腰椎小关节紊乱推拿治疗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132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PBDA0601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腰椎间盘突出推拿治疗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83</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71</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955"/>
        <w:gridCol w:w="2362"/>
        <w:gridCol w:w="1803"/>
        <w:gridCol w:w="1286"/>
        <w:gridCol w:w="514"/>
        <w:gridCol w:w="643"/>
        <w:gridCol w:w="663"/>
        <w:gridCol w:w="637"/>
        <w:gridCol w:w="593"/>
        <w:gridCol w:w="2207"/>
        <w:gridCol w:w="401"/>
        <w:gridCol w:w="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133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PBDA0701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第三腰椎横突综合征推拿治疗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31</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PBDA0801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骶髂关节紊乱症推拿治疗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PBDA0901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强直性脊柱炎推拿治疗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外伤性截瘫推拿治疗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54</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49</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49</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退行性脊柱炎推拿治疗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落枕推拿治疗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41</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37</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37</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四肢关节错缝推拿治疗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53</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53</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50</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项背肌筋膜炎推拿治疗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急性腰扭伤推拿治疗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腰肌劳损推拿治疗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梨状肌综合征推拿治疗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31</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PBDA1801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臀上皮神经损伤推拿治疗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PBDA1901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肩周炎推拿治疗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PBDA2001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滑囊炎推拿治疗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31</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955"/>
        <w:gridCol w:w="2362"/>
        <w:gridCol w:w="1803"/>
        <w:gridCol w:w="1286"/>
        <w:gridCol w:w="514"/>
        <w:gridCol w:w="643"/>
        <w:gridCol w:w="663"/>
        <w:gridCol w:w="637"/>
        <w:gridCol w:w="593"/>
        <w:gridCol w:w="2207"/>
        <w:gridCol w:w="401"/>
        <w:gridCol w:w="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147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PBDA2101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肱骨外上髁炎推拿治疗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PBDA2201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神经卡压综合征推拿治疗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PBDA2301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桡骨茎突狭窄性腱鞘炎推拿治疗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PBDA2401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退行性膝关节炎推拿治疗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31</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PBDA2501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踝关节损伤推拿治疗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PBDA2601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腕关节损伤推拿治疗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头痛推拿治疗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眩晕推拿治疗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PBDB0301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失眠推拿治疗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PBDB0401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感冒推拿治疗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PBDB0501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咳喘推拿治疗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PBDB0601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心悸推拿治疗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36</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31</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PBDB0701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消渴推拿治疗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PBDB0801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胃脘痛推拿治疗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p>
      <w:pPr>
        <w:pStyle w:val="2"/>
        <w:rPr>
          <w:rFonts w:hint="default"/>
        </w:rPr>
      </w:pP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955"/>
        <w:gridCol w:w="2362"/>
        <w:gridCol w:w="1803"/>
        <w:gridCol w:w="1286"/>
        <w:gridCol w:w="514"/>
        <w:gridCol w:w="643"/>
        <w:gridCol w:w="663"/>
        <w:gridCol w:w="637"/>
        <w:gridCol w:w="593"/>
        <w:gridCol w:w="2207"/>
        <w:gridCol w:w="401"/>
        <w:gridCol w:w="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PBDB0901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慢性胆囊炎推拿治疗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PBDB1001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呃逆推拿治疗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PBDB1101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腹泻推拿治疗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PBDB1201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便秘推拿治疗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PBDB1301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癃闭推拿治疗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PBDB1401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面瘫推拿治疗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PBDB1501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中风后遗症推拿治疗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51</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PBDC0101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痛经推拿治疗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PBDC0201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月经不调推拿治疗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PBDD0101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近视推拿治疗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PBDD0201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乳蛾推拿治疗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小儿肌性斜颈推拿治疗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30</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小儿发热推拿治疗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PBDE0301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小儿腹泻推拿治疗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935"/>
        <w:gridCol w:w="2364"/>
        <w:gridCol w:w="1805"/>
        <w:gridCol w:w="1288"/>
        <w:gridCol w:w="516"/>
        <w:gridCol w:w="644"/>
        <w:gridCol w:w="664"/>
        <w:gridCol w:w="638"/>
        <w:gridCol w:w="594"/>
        <w:gridCol w:w="2209"/>
        <w:gridCol w:w="403"/>
        <w:gridCol w:w="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PBDE0401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小儿咳嗽推拿治疗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PBDE0501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小儿疳积推拿治疗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PBDE0601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小儿脱肛推拿治疗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PBDE0701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小儿遗尿推拿治疗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PBDE0801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小儿便秘推拿治疗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PBDE0901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小儿呕吐推拿治疗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PBDE1001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小儿厌食推拿治疗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PBDE1101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小儿夜啼推拿治疗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183</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PBDE1201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小儿腹痛推拿治疗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184</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PBDE1301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小儿流涎症推拿治疗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34</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32</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185</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PBDE1401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小儿捏脊治疗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186</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PBDE1501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分娩性小儿臂丛神经损伤推拿治疗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39</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187</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PBDF0101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基本手法推拿治疗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188</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PBDF0102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复合手法推拿治疗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25</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24</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收取“复合手法推拿治疗”费后不再收取“基本手法推拿治疗”费。</w:t>
            </w:r>
          </w:p>
        </w:tc>
        <w:tc>
          <w:tcPr>
            <w:tcW w:w="157"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shd w:val="clear" w:color="auto" w:fill="auto"/>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3"/>
        <w:gridCol w:w="925"/>
        <w:gridCol w:w="2365"/>
        <w:gridCol w:w="1806"/>
        <w:gridCol w:w="1289"/>
        <w:gridCol w:w="517"/>
        <w:gridCol w:w="645"/>
        <w:gridCol w:w="665"/>
        <w:gridCol w:w="639"/>
        <w:gridCol w:w="595"/>
        <w:gridCol w:w="2209"/>
        <w:gridCol w:w="403"/>
        <w:gridCol w:w="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0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序号</w:t>
            </w:r>
          </w:p>
        </w:tc>
        <w:tc>
          <w:tcPr>
            <w:tcW w:w="333"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项目编码</w:t>
            </w:r>
          </w:p>
        </w:tc>
        <w:tc>
          <w:tcPr>
            <w:tcW w:w="91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项目名称</w:t>
            </w:r>
          </w:p>
        </w:tc>
        <w:tc>
          <w:tcPr>
            <w:tcW w:w="69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项目内涵</w:t>
            </w:r>
          </w:p>
        </w:tc>
        <w:tc>
          <w:tcPr>
            <w:tcW w:w="498"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除外内容</w:t>
            </w:r>
          </w:p>
        </w:tc>
        <w:tc>
          <w:tcPr>
            <w:tcW w:w="2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单位</w:t>
            </w:r>
          </w:p>
        </w:tc>
        <w:tc>
          <w:tcPr>
            <w:tcW w:w="987" w:type="pct"/>
            <w:gridSpan w:val="4"/>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18"/>
                <w:szCs w:val="18"/>
              </w:rPr>
              <w:t>价格（元）</w:t>
            </w:r>
          </w:p>
        </w:tc>
        <w:tc>
          <w:tcPr>
            <w:tcW w:w="852"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计价说明</w:t>
            </w:r>
          </w:p>
        </w:tc>
        <w:tc>
          <w:tcPr>
            <w:tcW w:w="157"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支付</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c>
          <w:tcPr>
            <w:tcW w:w="15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b/>
                <w:bCs/>
                <w:color w:val="000000"/>
                <w:kern w:val="0"/>
                <w:sz w:val="18"/>
                <w:szCs w:val="18"/>
              </w:rPr>
              <w:t>统计</w:t>
            </w:r>
            <w:r>
              <w:rPr>
                <w:rFonts w:hint="default" w:ascii="Times New Roman" w:hAnsi="Times New Roman" w:eastAsia="方正仿宋_GBK" w:cs="Times New Roman"/>
                <w:b/>
                <w:bCs/>
                <w:color w:val="000000"/>
                <w:kern w:val="0"/>
                <w:sz w:val="18"/>
                <w:szCs w:val="18"/>
              </w:rPr>
              <w:br w:type="textWrapping"/>
            </w:r>
            <w:r>
              <w:rPr>
                <w:rFonts w:hint="default" w:ascii="Times New Roman" w:hAnsi="Times New Roman" w:eastAsia="方正仿宋_GBK" w:cs="Times New Roman"/>
                <w:b/>
                <w:bCs/>
                <w:color w:val="000000"/>
                <w:kern w:val="0"/>
                <w:sz w:val="18"/>
                <w:szCs w:val="18"/>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blHeader/>
          <w:jc w:val="center"/>
        </w:trPr>
        <w:tc>
          <w:tcPr>
            <w:tcW w:w="20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333"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91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69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498"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0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市三级公立医疗机构</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市二级公立医疗机构</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20"/>
                <w:szCs w:val="20"/>
              </w:rPr>
            </w:pPr>
            <w:r>
              <w:rPr>
                <w:rFonts w:hint="default" w:ascii="Times New Roman" w:hAnsi="Times New Roman" w:eastAsia="方正仿宋_GBK" w:cs="Times New Roman"/>
                <w:b/>
                <w:bCs/>
                <w:color w:val="000000"/>
                <w:kern w:val="0"/>
                <w:sz w:val="20"/>
                <w:szCs w:val="20"/>
              </w:rPr>
              <w:t>县二级公立医疗机构</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r>
              <w:rPr>
                <w:rFonts w:hint="default" w:ascii="Times New Roman" w:hAnsi="Times New Roman" w:eastAsia="方正仿宋_GBK" w:cs="Times New Roman"/>
                <w:b/>
                <w:bCs/>
                <w:color w:val="000000"/>
                <w:kern w:val="0"/>
                <w:sz w:val="20"/>
                <w:szCs w:val="20"/>
              </w:rPr>
              <w:t>一级公立医疗机构</w:t>
            </w:r>
          </w:p>
        </w:tc>
        <w:tc>
          <w:tcPr>
            <w:tcW w:w="852"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7"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c>
          <w:tcPr>
            <w:tcW w:w="154"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b/>
                <w:bCs/>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189</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PBDF0201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运动关节手法推拿治疗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20</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17</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190</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PBDF0301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药棒穴位按摩治疗</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3个</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穴位</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16</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191</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PBDF0501</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中药膏摩</w:t>
            </w:r>
          </w:p>
        </w:tc>
        <w:tc>
          <w:tcPr>
            <w:tcW w:w="697"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498"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78</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70</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70</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66</w:t>
            </w:r>
          </w:p>
        </w:tc>
        <w:tc>
          <w:tcPr>
            <w:tcW w:w="852"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0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192</w:t>
            </w:r>
          </w:p>
        </w:tc>
        <w:tc>
          <w:tcPr>
            <w:tcW w:w="333"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EBAJT002</w:t>
            </w:r>
          </w:p>
        </w:tc>
        <w:tc>
          <w:tcPr>
            <w:tcW w:w="91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肺结节人工智能辅助诊断</w:t>
            </w:r>
          </w:p>
        </w:tc>
        <w:tc>
          <w:tcPr>
            <w:tcW w:w="69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核对患者信息，对肺结节影像的关键特征进行人工智能技术增强处理、分析，辅助诊断并生成报告。</w:t>
            </w:r>
          </w:p>
        </w:tc>
        <w:tc>
          <w:tcPr>
            <w:tcW w:w="49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2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次</w:t>
            </w:r>
          </w:p>
        </w:tc>
        <w:tc>
          <w:tcPr>
            <w:tcW w:w="25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5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48"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w:t>
            </w:r>
          </w:p>
        </w:tc>
        <w:tc>
          <w:tcPr>
            <w:tcW w:w="23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w:t>
            </w:r>
          </w:p>
        </w:tc>
        <w:tc>
          <w:tcPr>
            <w:tcW w:w="852"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157"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15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B</w:t>
            </w:r>
          </w:p>
        </w:tc>
      </w:tr>
    </w:tbl>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宋体" w:cs="Times New Roman"/>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宋体" w:cs="Times New Roman"/>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宋体" w:cs="Times New Roman"/>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宋体" w:cs="Times New Roman"/>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宋体" w:cs="Times New Roman"/>
          <w:sz w:val="18"/>
          <w:szCs w:val="18"/>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黑体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黑体_GBK" w:cs="Times New Roman"/>
          <w:sz w:val="32"/>
          <w:szCs w:val="32"/>
        </w:rPr>
      </w:pPr>
    </w:p>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附件7</w:t>
      </w:r>
    </w:p>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小标宋_GBK" w:cs="Times New Roman"/>
          <w:sz w:val="44"/>
          <w:szCs w:val="44"/>
        </w:rPr>
      </w:pPr>
      <w:bookmarkStart w:id="7" w:name="OLE_LINK8"/>
      <w:r>
        <w:rPr>
          <w:rFonts w:hint="default" w:ascii="Times New Roman" w:hAnsi="Times New Roman" w:eastAsia="方正小标宋_GBK" w:cs="Times New Roman"/>
          <w:sz w:val="44"/>
          <w:szCs w:val="44"/>
        </w:rPr>
        <w:t>整合后医疗服务价格项目映射关系表</w:t>
      </w:r>
    </w:p>
    <w:bookmarkEnd w:id="7"/>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5"/>
        <w:gridCol w:w="1568"/>
        <w:gridCol w:w="2339"/>
        <w:gridCol w:w="3806"/>
        <w:gridCol w:w="2807"/>
        <w:gridCol w:w="1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b/>
                <w:bCs/>
                <w:sz w:val="18"/>
                <w:szCs w:val="18"/>
              </w:rPr>
            </w:pPr>
            <w:r>
              <w:rPr>
                <w:rFonts w:hint="default" w:ascii="Times New Roman" w:hAnsi="Times New Roman" w:eastAsia="方正仿宋_GBK" w:cs="Times New Roman"/>
                <w:b/>
                <w:bCs/>
                <w:sz w:val="18"/>
                <w:szCs w:val="18"/>
              </w:rPr>
              <w:t>序号</w:t>
            </w:r>
          </w:p>
        </w:tc>
        <w:tc>
          <w:tcPr>
            <w:tcW w:w="604"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b/>
                <w:bCs/>
                <w:sz w:val="18"/>
                <w:szCs w:val="18"/>
              </w:rPr>
            </w:pPr>
            <w:r>
              <w:rPr>
                <w:rFonts w:hint="default" w:ascii="Times New Roman" w:hAnsi="Times New Roman" w:eastAsia="方正仿宋_GBK" w:cs="Times New Roman"/>
                <w:b/>
                <w:bCs/>
                <w:sz w:val="18"/>
                <w:szCs w:val="18"/>
              </w:rPr>
              <w:t>项目代码</w:t>
            </w:r>
          </w:p>
        </w:tc>
        <w:tc>
          <w:tcPr>
            <w:tcW w:w="90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b/>
                <w:bCs/>
                <w:sz w:val="18"/>
                <w:szCs w:val="18"/>
              </w:rPr>
            </w:pPr>
            <w:r>
              <w:rPr>
                <w:rFonts w:hint="default" w:ascii="Times New Roman" w:hAnsi="Times New Roman" w:eastAsia="方正仿宋_GBK" w:cs="Times New Roman"/>
                <w:b/>
                <w:bCs/>
                <w:sz w:val="18"/>
                <w:szCs w:val="18"/>
              </w:rPr>
              <w:t>项目名称</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b/>
                <w:bCs/>
                <w:sz w:val="18"/>
                <w:szCs w:val="18"/>
              </w:rPr>
            </w:pPr>
            <w:r>
              <w:rPr>
                <w:rFonts w:hint="default" w:ascii="Times New Roman" w:hAnsi="Times New Roman" w:eastAsia="方正仿宋_GBK" w:cs="Times New Roman"/>
                <w:b/>
                <w:bCs/>
                <w:sz w:val="18"/>
                <w:szCs w:val="18"/>
              </w:rPr>
              <w:t>价格构成</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b/>
                <w:bCs/>
                <w:sz w:val="18"/>
                <w:szCs w:val="18"/>
              </w:rPr>
            </w:pPr>
            <w:r>
              <w:rPr>
                <w:rFonts w:hint="default" w:ascii="Times New Roman" w:hAnsi="Times New Roman" w:eastAsia="方正仿宋_GBK" w:cs="Times New Roman"/>
                <w:b/>
                <w:bCs/>
                <w:sz w:val="18"/>
                <w:szCs w:val="18"/>
              </w:rPr>
              <w:t>同整合后项目收取项目名称</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b/>
                <w:bCs/>
                <w:sz w:val="18"/>
                <w:szCs w:val="18"/>
              </w:rPr>
            </w:pPr>
            <w:r>
              <w:rPr>
                <w:rFonts w:hint="default" w:ascii="Times New Roman" w:hAnsi="Times New Roman" w:eastAsia="方正仿宋_GBK" w:cs="Times New Roman"/>
                <w:b/>
                <w:bCs/>
                <w:sz w:val="18"/>
                <w:szCs w:val="18"/>
              </w:rPr>
              <w:t>纳入价格构成项目名称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110201</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量表</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8" w:hRule="atLeast"/>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011102010010000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临床量表评估（自评）</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所定价格涵盖完成自评所需的人力资源和基本物质资源消耗。</w:t>
            </w:r>
          </w:p>
        </w:tc>
        <w:tc>
          <w:tcPr>
            <w:tcW w:w="108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精神科A类量表测查</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精神科B类量表测查</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精神科C类量表测查</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套瓦（TOVA）注意力竞量测试</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言语能力评定</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失语症检查</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认知知觉功能检查</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记忆力评定</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失认、失用评定</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记忆广度检查</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营养风险筛查</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Frail量表老年衰弱评估</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疼痛综合评定</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日常生活能力评定</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新生儿量表检查</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新生儿行为测定</w:t>
            </w:r>
          </w:p>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卫生行业主管部门相关技术规范等准许使用的临床量表</w:t>
            </w:r>
          </w:p>
        </w:tc>
        <w:tc>
          <w:tcPr>
            <w:tcW w:w="736" w:type="pct"/>
            <w:vMerge w:val="restar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8" w:hRule="atLeast"/>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sz w:val="18"/>
                <w:szCs w:val="18"/>
              </w:rPr>
              <w:t>2</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011102010020000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临床量表评估（他评）</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所定价格涵盖完成他评所需的人力资源和基本物质资源消耗。</w:t>
            </w:r>
          </w:p>
        </w:tc>
        <w:tc>
          <w:tcPr>
            <w:tcW w:w="108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p>
        </w:tc>
        <w:tc>
          <w:tcPr>
            <w:tcW w:w="736"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3317</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器官移植手术</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心脏移植术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异体同种心脏移植，实现患者原位心脏切除和供体心脏植入。</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心脏移植术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原位心脏移植术</w:t>
            </w:r>
          </w:p>
        </w:tc>
        <w:tc>
          <w:tcPr>
            <w:tcW w:w="73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供体心脏获取术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异位移植心脏摘除术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013317000010100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心脏移植术-异种器官（扩展）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异体异种心脏移植，实现患者原位心脏切除和供体心脏植入。</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013317000010200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心脏移植术-异位移植（扩展）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异体同种异位心脏移植，实现患者原位心脏切除和供体心脏植入。</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异位心脏移植术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013317000020000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肝脏移植术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异体同种肝脏（全肝）移植，实现患者原位肝脏切除和供体肝脏植入。</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肝移植</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移植肝切除术+再移植术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原位肝移植术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原位辅助肝移植术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双供肝原位肝移植术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移植肝切除再移植术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013317000020002</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肝脏移植术-部分肝脏（器官段）移植（加收）</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异体同种部分肝脏（器官段）移植，实现患者原位肝脏切除和供体肝脏植入。</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部分供肝原位肝移植术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013317000020100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肝脏移植术-异种器官（扩展）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异体异种肝脏（全肝）移植，实现患者原位肝脏切除和供体肝脏植入。</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013317000030000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肺脏移植术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异体同种肺脏（单侧）移植，实现患者原位肺脏切除和供体肺脏植入。</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肺移植术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单肺移植术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013317000030002</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肺脏移植术-部分肺脏（器官段）移植（加收）</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异体同种部分肺脏（器官段）移植，实现患者原位肺脏切除和供体肺脏植入。</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013317000030100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肺脏移植术-异种器官（扩展）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异体异种肺脏（单侧）移植，实现患者原位肺脏切除和供体肺脏植入。</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013317000040000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肾脏移植术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异体同种肾脏（单侧）移植，实现供体肾脏植入。</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异体肾移植术</w:t>
            </w:r>
          </w:p>
        </w:tc>
        <w:tc>
          <w:tcPr>
            <w:tcW w:w="73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供体肾修复术、肾脏低温机械灌注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013317000040100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肾脏移植术-异种器官（扩展）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异体异种肾脏（单侧）移植，实现供体肾脏植入。</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013317000050000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小肠移植术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异体同种小肠（器官段）移植，实现患者原位小肠切除和供体小肠植入。</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小肠移植术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异体小肠移植术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013317000050100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小肠移植术-异种器官（扩展）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异体异种小肠（器官段）移植，实现患者原位小肠切除和供体小肠植入。</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013317000060000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胰腺移植术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异体同种胰腺移植，实现供体胰腺植入。</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胰腺移植术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胰岛移植术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013317000060100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胰腺移植术-异种器官（扩展）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异体异种胰腺移植，实现供体胰腺植入。</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w:t>
            </w:r>
          </w:p>
        </w:tc>
        <w:tc>
          <w:tcPr>
            <w:tcW w:w="604"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013317000070000</w:t>
            </w:r>
          </w:p>
        </w:tc>
        <w:tc>
          <w:tcPr>
            <w:tcW w:w="90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角膜移植术</w:t>
            </w:r>
          </w:p>
        </w:tc>
        <w:tc>
          <w:tcPr>
            <w:tcW w:w="1466"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异体同种角膜（单侧）移植，实现患者原位角膜切除和供体角膜植入。</w:t>
            </w:r>
          </w:p>
        </w:tc>
        <w:tc>
          <w:tcPr>
            <w:tcW w:w="1081"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角膜移植术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穿透性角膜移植术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板层角膜移植术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深板层角膜移植术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人工角膜移植术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异体巩膜移植术</w:t>
            </w:r>
          </w:p>
        </w:tc>
        <w:tc>
          <w:tcPr>
            <w:tcW w:w="736" w:type="pct"/>
            <w:vMerge w:val="restar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901"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466"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vMerge w:val="continue"/>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c>
          <w:tcPr>
            <w:tcW w:w="736"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013317000070100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角膜移植术-异种组织（扩展）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异体异种角膜（单侧）移植，实现患者原位角膜切除和供体角膜植入。</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013317000080000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供肝切取术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活体供者肝脏（器官段）切取。</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异体供肝切除术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活体供肝获取术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经腹腔镜活体供肝获取术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013317000090000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供肺切取术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活体供者肺脏（器官段）切取。</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供肺切除术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供体肺获取术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供体心肺获取术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013317000100000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供肾切取术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活体供者肾脏（单侧）切取。</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异体供肾取肾术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活体供肾获取术</w:t>
            </w:r>
            <w:r>
              <w:rPr>
                <w:rFonts w:hint="default" w:ascii="Times New Roman" w:hAnsi="Times New Roman" w:eastAsia="方正仿宋_GBK" w:cs="Times New Roman"/>
                <w:color w:val="000000"/>
                <w:kern w:val="0"/>
                <w:sz w:val="18"/>
                <w:szCs w:val="18"/>
              </w:rPr>
              <w:br w:type="textWrapping"/>
            </w:r>
            <w:r>
              <w:rPr>
                <w:rFonts w:hint="default" w:ascii="Times New Roman" w:hAnsi="Times New Roman" w:eastAsia="方正仿宋_GBK" w:cs="Times New Roman"/>
                <w:color w:val="000000"/>
                <w:kern w:val="0"/>
                <w:sz w:val="18"/>
                <w:szCs w:val="18"/>
              </w:rPr>
              <w:t>经腹腔镜活体供肾获取术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013317000110000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供小肠切取术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活体供者小肠（器官段）切取。</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小肠供体获取术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013317000120000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供胰腺切取术</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活体供者胰腺（器官段）切取。</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异体供胰切除术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异位异体移植胰腺切除术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异体活体供胰节段切除术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41</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中医外治</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中药贴敷</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所定价格涵盖确定穴位，局部清洁，贴敷材料准备（含掺药、封包、冷热处理等），应用药物贴敷，处理用物所需的人力资源和基本物质资源消耗，含设备投入及维护成本。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穴位贴敷治疗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贴敷疗法</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中药封包治疗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中药贴敷治疗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中药倒膜治疗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脐疗法治疗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缠缚治疗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 xml:space="preserve">箍围治疗 </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014100000010001</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中药贴敷-中药硬膏贴敷（加收）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中药硬膏热贴敷治疗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中药硬膏治疗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014100000010002</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中药贴敷-中药贴敷（大）（加收）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014100000010003</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中药贴敷-中药贴敷（特大）（加收）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014100000010100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中药贴敷-中药热奄包（扩展）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所定价格涵盖确定穴位，局部清洁，贴敷材料准备（含掺药、封包、冷热处理等），应用药物贴敷，处理用物所需的人力资源和基本物质资源消耗，含设备投入及维护成本。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中药热奄包治疗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中药熥敷治疗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014100000010200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中药贴敷-特殊材料贴敷（扩展）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所定价格涵盖确定穴位，局部清洁，贴敷材料准备（含掺药、封包、冷热处理等），应用药物贴敷，处理用物所需的人力资源和基本物质资源消耗，含设备投入及维护成本。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2</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014100000020000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中药吹粉</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所定价格涵盖局部清洁，调配药粉，吹粉，处理用物所需的人力资源和基本物质资源消耗，含设备投入及维护成本。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耳咽中药吹粉治疗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3</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014100000030000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中药烫熨</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所定价格涵盖局部清洁，药物调配，移动敷熨，处理用物所需的人力资源和基本物质资源消耗，含设备投入及维护成本。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烫熨治疗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中医定向透药治疗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中药热烘治疗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4</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014100000040000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中药泡洗</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所定价格涵盖局部清洁，药物调配，协助或指导，监测生命体征，观察药液温度等处理用物所需的人力资源和基本物质资源消耗，含设备投入及维护成本。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中药浸泡治疗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中药淋洗治疗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5</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014100000050000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中药灌洗</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所定价格涵盖局部清洁消毒，药物调配，材料准备，处理用物所需的人力资源和基本物质资源消耗，含设备投入及维护成本。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中药直肠滴入治疗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经直肠中药滴入治疗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结肠水疗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6</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014100000060000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中药溻渍</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所定价格涵盖局部清洁，药物调配、蒸煮准备、溻渍治疗处理用物所需的人力资源和基本物质资源消耗，含设备投入及维护成本。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中药塌渍治疗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7</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014100000070000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中药涂擦</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所定价格涵盖局部清洁，药物调配，各类手法涂擦，处理用物所需的人力资源和基本物质资源消耗，含设备投入及维护成本。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中药涂擦治疗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8</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014100000080000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中医熏洗</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所定价格涵盖局部清洁，药物调配，熏（蒸）药，处理用物所需的人力资源和基本物质资源消耗，含设备投入及维护成本。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中药熏洗治疗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中药蒸汽浴治疗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中药熏药治疗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中药局部熏洗治疗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中药半身熏洗治疗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中药全身熏洗治疗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9</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014100000090000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中药腐蚀</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所定价格涵盖局部消毒，药物调配，腐蚀，包扎，处理用物所需的人力资源和基本物质资源消耗，含设备投入及维护成本。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赘生物中药腐蚀治疗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10</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014100000100000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中药化腐清疮</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所定价格涵盖药物调配，局部消毒，皮肤表层创面清理、敷药、包扎，处理用物所需的人力资源和基本物质资源消耗，含设备投入及维护成本。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中药化腐清创术</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垫棉治疗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中医锐性清疮</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所定价格涵盖药物调配，局部消毒，皮肤表层创面清理、使用器械清疮、敷药、包扎，处理用物所需的人力资源和基本物质资源消耗，含设备投入及维护成本。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12</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014100000120000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中医窦道（切开） 搔爬</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所定价格涵盖局部消毒，探查浅表窦道，必要时切开，搔爬，处理用物所需的人力资源和基本物质资源消耗，含设备投入及维护成本。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体表瘘管切开搔爬术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014100000120001</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中医窦道（切开） 搔爬-深层搔爬（加收）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乳腺窦道搔爬治疗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014100000120002</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中医窦道（切开） 搔爬-耳前窦道（加收）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耳前窦道搔爬治疗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13</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014100000130000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中医挑治</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所定价格涵盖确定部位，局部消毒，挑治，处理创口所需的人力资源和基本物质资源消耗，含设备投入及维护成本。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挑治</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14</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014100000140000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中医割治</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所定价格涵盖确定部位，局部消毒，切割、包扎创口、处理用物所需的人力资源和基本物质资源消耗，含设备投入及维护成本。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割治</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鼻腔割治</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扁桃体啄治</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15</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014100000150000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中医穴位放血治疗</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所定价格涵盖使用各种工具，局部消毒，确定部位，放血，处理创口所需的人力资源和基本物质资源消耗，含设备投入及维护成本。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穴位放血治疗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静脉放血治疗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砭镰治疗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24"/>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014100000150001</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中医穴位放血治疗-甲床放血（加收）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甲床放血治疗术</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sz w:val="24"/>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014100000150002</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中医穴位放血治疗-刺络放血（加收）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16</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014100000160000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中医药线引流</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所定价格涵盖引流物制作、药物调配，局部消毒，疮口清理、放置引流物、必要时切开，局部包扎、处理用物所需的人力资源和基本物质资源消耗，含设备投入及维护成本。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药线引流治疗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药捻引流治疗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17</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014100000170000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中医刮痧</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r>
              <w:rPr>
                <w:rFonts w:hint="default" w:ascii="Times New Roman" w:hAnsi="Times New Roman" w:eastAsia="方正仿宋_GBK" w:cs="Times New Roman"/>
                <w:color w:val="000000"/>
                <w:kern w:val="0"/>
                <w:sz w:val="18"/>
                <w:szCs w:val="18"/>
              </w:rPr>
              <w:t>所定价格涵盖局部消毒，确定部位、刮拭、清洁，处理用物所需的人力资源和基本物质资源消耗，含设备投入及维护成本。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刮痧治疗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撮痧治疗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18</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014100000180000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砭石疗法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所定价格涵盖局部消毒，确定部位、运用点、压、揉、推、刮、擦等各类手法、清洁，处理用物所需的人力资源和基本物质资源消耗，含设备投入及维护成本。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砭石治疗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砭石通乳治疗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42</w:t>
            </w:r>
          </w:p>
        </w:tc>
        <w:tc>
          <w:tcPr>
            <w:tcW w:w="90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针法</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常规针法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所定价格涵盖穴位确定、消毒、选针、进针、行针、留针、出针、必要时行仪器辅助操作等过程中所需的人力资源和基本物质资源消耗，含设备投入及维护成本。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普通针刺</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针刺运动治疗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头针治疗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耳针治疗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面针治疗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鼻针治疗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鼻腔针刺治疗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口针治疗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舌针治疗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腹针治疗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手针治疗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腕踝针治疗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金针治疗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普通电针治疗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电冷针灸治疗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电火针治疗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电热针灸治疗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电滚针治疗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内热针治疗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5"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014200000020000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特殊针具针法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所定价格涵盖穴位确定、消毒、选针、进针、行针、留针、出针、必要时行仪器辅助操作等过程中所需的人力资源和基本物质资源消耗，含设备投入及维护成本。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芒针治疗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火针治疗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锋钩针治疗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镵针治疗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浮针治疗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长圆针治疗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拨针治疗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铍针治疗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0"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014200000030000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特殊手法针法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所定价格涵盖穴位确定、消毒、选针、进针、行针、留针、出针、必要时行仪器辅助操作等过程中所需的人力资源和基本物质资源消耗，含设备投入及维护成本。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特殊手法针刺</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子午流注开穴法</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灵龟八法开穴法</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飞腾八法开穴法</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针刺麻醉</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靳三针治疗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平衡针治疗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醒脑开窍针刺治疗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大接经法治疗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赤医针治疗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切脉针刺治疗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贺氏三通治疗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014200000040000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特殊穴位（部位）针法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所定价格涵盖部位确定、消毒、选针、进针、行针、留针、出针、必要时行仪器辅助操作等过程中所需的人力资源和基本物质资源消耗，含设备投入及维护成本。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特殊穴位针刺</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眼针治疗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项针治疗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夹脊针治疗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眼内针电刺激</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蝶腭神经节针刺治疗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014200000050000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仪器针法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所定价格涵盖部位确定、消毒、选针、进针、行针、留针、出针等过程中所需的人力资源和基本物质资源消耗，含设备投入及维护成本。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微波针治疗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模拟针刺手法电针治疗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激光针治疗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014200000060000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体表针法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所定价格涵盖部位确定、选针、体表施治等过程中所需的人力资源和基本物质资源消耗，含设备投入及维护成本。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杵针治疗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圆针治疗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梅花针治疗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普通滚针治疗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磁针治疗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皮肤针治疗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鍉针治疗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磁圆梅针治疗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014200000070000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活体生物针法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所定价格涵盖部位确定、消毒、活体生物施治等过程中所需的人力资源和基本物质资源消耗。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蜂针治疗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014200000080000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穴位埋入</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所定价格涵盖穴位确定、消毒、埋入，处理创口用物所需的人力资源和基本物质资源消耗。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穴位埋线治疗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皮内针治疗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014200000090000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穴位注射</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所定价格涵盖穴位确定、消毒、注射、取针、局部处理等过程中所需的人力资源和基本物质资源消耗。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穴位注射治疗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b/>
                <w:bCs/>
                <w:color w:val="000000"/>
                <w:kern w:val="0"/>
                <w:sz w:val="22"/>
                <w:szCs w:val="22"/>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014200000090100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穴位注射-中医自血疗法（扩展）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所定价格涵盖穴位确定、消毒、注射、取针、局部处理等过程中所需的人力资源和基本物质资源消耗。</w:t>
            </w:r>
          </w:p>
        </w:tc>
        <w:tc>
          <w:tcPr>
            <w:tcW w:w="1081" w:type="pct"/>
            <w:tcMar>
              <w:top w:w="0" w:type="dxa"/>
              <w:left w:w="57" w:type="dxa"/>
              <w:bottom w:w="0" w:type="dxa"/>
              <w:right w:w="57" w:type="dxa"/>
            </w:tcMa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自血穴位脱敏治疗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014200000100000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耳穴疗法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所定价格涵盖穴位确定、消毒、贴敷、按压等过程中所需的人力资源和基本物质资源消耗。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耳穴压丸治疗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44</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灸法</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5"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悬空灸</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所定价格涵盖施灸制品制备，点燃，穴位确定，固定或调节距离，熏烤，控制温度，处理用物等所需的人力资源和基本物质资源消耗。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艾条灸治疗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温灸器灸法</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透灸治疗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热敏灸治疗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循经灸治疗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014400000010100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悬空灸-雷火灸 （太乙神针）（扩展）</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雷火灸治疗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雷火针灸治疗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太乙神针灸治疗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014400000020000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直接灸</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所定价格涵盖施灸制品制备，点燃，穴位确定，皮肤消毒，点触、拍打、熨法等方式所需的人力资源和基本物质资源消耗。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直接灸治疗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灯火灸治疗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天灸治疗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药线点灸治疗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中药泥灸治疗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熨灸治疗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天灸治疗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麦粒灸治疗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三伏灸治疗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014400000030000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隔物灸</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所定价格涵盖间隔物和施灸制品的制备，摆放，点燃，施灸等所需的人力资源和基本物质资源消耗。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隔物灸治疗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温针灸治疗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神阙穴药饼灸治疗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014400000040000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铺灸</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所定价格涵盖灸饼和施灸制品制备，撒药粉，平铺，放置，点燃，施灸等所需的人力资源和基本物质资源消耗时间成本。</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铺棉灸治疗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014400000040002</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铺灸-（督灸 （火龙灸））（加收）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督灸治疗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大灸治疗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火龙灸治疗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所定价格可以涵盖清洁，罐具吸附，观察，撤罐，处理用物所需的人力资源和基本物质资源消耗。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普通拔罐治疗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刺络拔罐治疗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014400000050001</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中医拔罐-药物罐（加收）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014400000050002</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中医拔罐-水罐（加收）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水罐治疗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中医拔罐-火罐（扩展）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所定价格可以涵盖清洁，罐具吸附，观察，撤罐，处理用物所需的人力资源和基本物质资源消耗。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014400000050200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中医拔罐-电火罐（扩展）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所定价格可以涵盖清洁，罐具吸附，观察，撤罐，处理用物所需的人力资源和基本物质资源消耗。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电火罐治疗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014400000050300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中医拔罐-着罐（扩展）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所定价格可以涵盖清洁，罐具吸附，观察，撤罐，处理用物所需的人力资源和基本物质资源消耗。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b/>
                <w:bCs/>
                <w:color w:val="000000"/>
                <w:kern w:val="0"/>
                <w:sz w:val="22"/>
                <w:szCs w:val="22"/>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014400000050400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中医拔罐-磁疗罐（扩展）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所定价格可以涵盖清洁，罐具吸附，观察，撤罐，处理用物所需的人力资源和基本物质资源消耗。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磁罐治疗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014400000050500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中医拔罐-真空拔罐（扩展）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所定价格可以涵盖清洁，罐具吸附，观察，撤罐，处理用物所需的人力资源和基本物质资源消耗。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真空罐治疗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014400000050600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中医拔罐-电罐（扩展）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所定价格可以涵盖清洁，罐具吸附，观察，撤罐，处理用物所需的人力资源和基本物质资源消耗。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电罐治疗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014400000060000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中医走罐</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所定价格可以涵盖清洁，涂抹润滑剂，罐具吸附并反复滑动，处理用物所需的人力资源和基本物质资源消耗。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走罐治疗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014400000060100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中医走罐-平衡罐（扩展）</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所定价格可以涵盖清洁，涂抹润滑剂，罐具吸附并反复滑动，处理用物所需的人力资源和基本物质资源消耗。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014400000070000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中医闪罐</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所定价格可以涵盖清洁，罐具吸附并反复拔、起，处理用物所需的人力资源和基本物质资源消耗。</w:t>
            </w: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10"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45</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推拿疗法</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081"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头面部疾病推拿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头痛推拿治疗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眩晕推拿治疗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失眠推拿治疗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面瘫推拿治疗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近视推拿治疗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2</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014500000020000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颈部疾病推拿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颈椎病推拿治疗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落枕推拿治疗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小儿肌性斜颈推拿治疗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trPr>
        <w:tc>
          <w:tcPr>
            <w:tcW w:w="210" w:type="pct"/>
            <w:vMerge w:val="restar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3</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014500000030000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脊柱部位疾病推拿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强直性脊柱炎推拿治疗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颈椎小关节紊乱推拿治疗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胸椎小关节紊乱推拿治疗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腰椎小关节紊乱推拿治疗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退行性脊柱炎推拿治疗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整脊推拿治疗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0" w:type="pct"/>
            <w:vMerge w:val="continue"/>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jc w:val="center"/>
              <w:rPr>
                <w:rFonts w:hint="default" w:ascii="Times New Roman" w:hAnsi="Times New Roman" w:eastAsia="方正仿宋_GBK" w:cs="Times New Roman"/>
                <w:color w:val="000000"/>
                <w:kern w:val="0"/>
                <w:sz w:val="18"/>
                <w:szCs w:val="18"/>
              </w:rPr>
            </w:pP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014500000030001</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脊柱部位疾病推拿-寰枢关节推拿（加收）</w:t>
            </w:r>
          </w:p>
        </w:tc>
        <w:tc>
          <w:tcPr>
            <w:tcW w:w="146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color w:val="000000"/>
                <w:kern w:val="0"/>
                <w:sz w:val="18"/>
                <w:szCs w:val="18"/>
              </w:rPr>
            </w:pP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寰枢关节失稳推拿治疗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4</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014500000040000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肩部疾病推拿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肩周炎推拿治疗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5</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014500000050000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背部疾病推拿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项背肌筋膜炎推拿治疗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6</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014500000060000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腰部疾病推拿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急性腰扭伤推拿治疗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腰椎间盘突出推拿治疗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第三腰椎横突综合征推拿治疗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腰肌劳损推拿治疗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7</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014500000070000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髋骶部疾病推拿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所定价格涵盖应用各类推拿手法或特殊推拿技术或辅助器械，审证求因、确定病位、动静结合、精准施治所需的人力资源和基本物质资源消耗。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骶髂关节紊乱症推拿治疗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梨状肌综合征推拿治疗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臀上皮神经损伤推拿治疗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耻骨联合错缝推拿治疗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8</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014500000080000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四肢部位疾病推拿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滑囊炎推拿治疗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肱骨外上髁炎推拿治疗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神经卡压综合征推拿治疗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桡骨茎突狭窄性腱鞘炎推拿治疗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退行性膝关节炎推拿治疗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踝关节损伤推拿治疗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腕关节损伤推拿治疗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四肢关节错缝推拿治疗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分娩性小儿臂丛神经损伤推拿治疗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运动关节手法推拿治疗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正骨推拿治疗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9</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014500000090000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脏腑疾病推拿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感冒推拿治疗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咳喘推拿治疗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心悸推拿治疗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消渴推拿治疗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胃脘痛推拿治疗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慢性胆囊炎推拿治疗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呃逆推拿治疗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腹泻推拿治疗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便秘推拿治疗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癃闭推拿治疗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痛经推拿治疗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月经不调推拿治疗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乳蛾推拿治疗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小儿发热推拿治疗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小儿腹泻推拿治疗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小儿咳嗽推拿治疗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小儿疳积推拿治疗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小儿脱肛推拿治疗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小儿遗尿推拿治疗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小儿便秘推拿治疗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小儿呕吐推拿治疗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小儿厌食推拿治疗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小儿夜啼推拿治疗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小儿腹痛推拿治疗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小儿流涎症推拿治疗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小儿捏脊治疗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小儿脏腑推拿治疗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脏腑推拿治疗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经络推拿治疗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振腹推拿治疗</w:t>
            </w:r>
          </w:p>
        </w:tc>
        <w:tc>
          <w:tcPr>
            <w:tcW w:w="73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10</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014500000100000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乳房疾病推拿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所定价格涵盖应用各类推拿手法或特殊推拿技术或辅助器械，审证求因、确定病位、动静结合、精准施治所需的人力资源和基本物质资源消耗。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手法通乳治疗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top"/>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热敷通乳治疗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210"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center"/>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11</w:t>
            </w:r>
          </w:p>
        </w:tc>
        <w:tc>
          <w:tcPr>
            <w:tcW w:w="604"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jc w:val="left"/>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014500000110000</w:t>
            </w:r>
          </w:p>
        </w:tc>
        <w:tc>
          <w:tcPr>
            <w:tcW w:w="90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中枢神经系统疾病推拿</w:t>
            </w:r>
          </w:p>
        </w:tc>
        <w:tc>
          <w:tcPr>
            <w:tcW w:w="1466"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所定价格涵盖应用各类推拿手法或辅助器械，完成操作所需的人力资源和基本物质资源消耗。</w:t>
            </w:r>
          </w:p>
        </w:tc>
        <w:tc>
          <w:tcPr>
            <w:tcW w:w="1081" w:type="pct"/>
            <w:tcMar>
              <w:top w:w="0" w:type="dxa"/>
              <w:left w:w="57" w:type="dxa"/>
              <w:bottom w:w="0" w:type="dxa"/>
              <w:right w:w="57" w:type="dxa"/>
            </w:tcMar>
            <w:vAlign w:val="center"/>
          </w:tcPr>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外伤性截瘫推拿治疗</w:t>
            </w:r>
          </w:p>
          <w:p>
            <w:pPr>
              <w:keepNext w:val="0"/>
              <w:keepLines w:val="0"/>
              <w:pageBreakBefore w:val="0"/>
              <w:widowControl/>
              <w:kinsoku/>
              <w:wordWrap/>
              <w:overflowPunct/>
              <w:topLinePunct w:val="0"/>
              <w:autoSpaceDE/>
              <w:autoSpaceDN/>
              <w:bidi w:val="0"/>
              <w:adjustRightInd/>
              <w:spacing w:beforeAutospacing="0" w:afterAutospacing="0" w:line="240" w:lineRule="auto"/>
              <w:textAlignment w:val="center"/>
              <w:rPr>
                <w:rFonts w:hint="default" w:ascii="Times New Roman" w:hAnsi="Times New Roman" w:eastAsia="方正仿宋_GBK" w:cs="Times New Roman"/>
                <w:color w:val="000000"/>
                <w:kern w:val="0"/>
                <w:sz w:val="18"/>
                <w:szCs w:val="18"/>
              </w:rPr>
            </w:pPr>
            <w:r>
              <w:rPr>
                <w:rFonts w:hint="default" w:ascii="Times New Roman" w:hAnsi="Times New Roman" w:eastAsia="方正仿宋_GBK" w:cs="Times New Roman"/>
                <w:color w:val="000000"/>
                <w:kern w:val="0"/>
                <w:sz w:val="18"/>
                <w:szCs w:val="18"/>
              </w:rPr>
              <w:t>中风后遗症推拿治疗</w:t>
            </w:r>
          </w:p>
        </w:tc>
        <w:tc>
          <w:tcPr>
            <w:tcW w:w="736" w:type="pct"/>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pacing w:beforeAutospacing="0" w:afterAutospacing="0" w:line="240" w:lineRule="auto"/>
              <w:rPr>
                <w:rFonts w:hint="default" w:ascii="Times New Roman" w:hAnsi="Times New Roman" w:eastAsia="方正仿宋_GBK" w:cs="Times New Roman"/>
                <w:sz w:val="18"/>
                <w:szCs w:val="18"/>
              </w:rPr>
            </w:pPr>
          </w:p>
        </w:tc>
      </w:tr>
    </w:tbl>
    <w:p>
      <w:pPr>
        <w:pStyle w:val="2"/>
        <w:keepNext w:val="0"/>
        <w:keepLines w:val="0"/>
        <w:pageBreakBefore w:val="0"/>
        <w:kinsoku/>
        <w:wordWrap/>
        <w:overflowPunct/>
        <w:topLinePunct w:val="0"/>
        <w:autoSpaceDE/>
        <w:autoSpaceDN/>
        <w:bidi w:val="0"/>
        <w:adjustRightInd/>
        <w:spacing w:before="0" w:beforeAutospacing="0" w:after="0" w:afterAutospacing="0" w:line="240" w:lineRule="auto"/>
        <w:rPr>
          <w:rFonts w:hint="default" w:ascii="Times New Roman" w:hAnsi="Times New Roman" w:eastAsia="仿宋_GB2312" w:cs="Times New Roman"/>
          <w:b w:val="0"/>
          <w:bCs w:val="0"/>
          <w:sz w:val="32"/>
          <w:szCs w:val="32"/>
        </w:rPr>
      </w:pPr>
    </w:p>
    <w:sectPr>
      <w:pgSz w:w="16838" w:h="11906" w:orient="landscape"/>
      <w:pgMar w:top="1588" w:right="1985" w:bottom="1588" w:left="1985"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pPr>
                <w:r>
                  <w:t xml:space="preserve">— </w:t>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  \* MERGEFORMAT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w:t>
                </w:r>
                <w:r>
                  <w:rPr>
                    <w:rFonts w:hint="default" w:ascii="Times New Roman" w:hAnsi="Times New Roman" w:cs="Times New Roman"/>
                    <w:sz w:val="30"/>
                    <w:szCs w:val="30"/>
                  </w:rPr>
                  <w:fldChar w:fldCharType="end"/>
                </w:r>
                <w:r>
                  <w:rPr>
                    <w:rFonts w:hint="default" w:ascii="Times New Roman" w:hAnsi="Times New Roman" w:cs="Times New Roman"/>
                    <w:sz w:val="30"/>
                    <w:szCs w:val="30"/>
                  </w:rPr>
                  <w:t xml:space="preserve"> </w:t>
                </w:r>
                <w: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EB453F"/>
    <w:multiLevelType w:val="singleLevel"/>
    <w:tmpl w:val="80EB453F"/>
    <w:lvl w:ilvl="0" w:tentative="0">
      <w:start w:val="1"/>
      <w:numFmt w:val="decimal"/>
      <w:lvlText w:val="%1."/>
      <w:lvlJc w:val="left"/>
      <w:pPr>
        <w:tabs>
          <w:tab w:val="left" w:pos="312"/>
        </w:tabs>
      </w:pPr>
    </w:lvl>
  </w:abstractNum>
  <w:abstractNum w:abstractNumId="1">
    <w:nsid w:val="BAC78527"/>
    <w:multiLevelType w:val="singleLevel"/>
    <w:tmpl w:val="BAC78527"/>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ZmE4ZTM1OTBkNDc4NTI4NzI2NDc5OGJiM2E2NzM3ZTEifQ=="/>
  </w:docVars>
  <w:rsids>
    <w:rsidRoot w:val="0063116D"/>
    <w:rsid w:val="000D0361"/>
    <w:rsid w:val="000F6EE7"/>
    <w:rsid w:val="0028408E"/>
    <w:rsid w:val="002B0690"/>
    <w:rsid w:val="002B22E7"/>
    <w:rsid w:val="002B300C"/>
    <w:rsid w:val="002D197A"/>
    <w:rsid w:val="002D7343"/>
    <w:rsid w:val="003E2565"/>
    <w:rsid w:val="004406F8"/>
    <w:rsid w:val="004E258E"/>
    <w:rsid w:val="00504BF5"/>
    <w:rsid w:val="005657CC"/>
    <w:rsid w:val="00567A96"/>
    <w:rsid w:val="00592220"/>
    <w:rsid w:val="0063116D"/>
    <w:rsid w:val="00696A92"/>
    <w:rsid w:val="00782701"/>
    <w:rsid w:val="007D21B7"/>
    <w:rsid w:val="007E75C6"/>
    <w:rsid w:val="008709C5"/>
    <w:rsid w:val="00880748"/>
    <w:rsid w:val="008C2EB7"/>
    <w:rsid w:val="009275EF"/>
    <w:rsid w:val="00A842A6"/>
    <w:rsid w:val="00A978B1"/>
    <w:rsid w:val="00AF6A53"/>
    <w:rsid w:val="00B003E9"/>
    <w:rsid w:val="00BD33C0"/>
    <w:rsid w:val="00C00F34"/>
    <w:rsid w:val="00C54214"/>
    <w:rsid w:val="00CA3A4C"/>
    <w:rsid w:val="00CA603B"/>
    <w:rsid w:val="00CE4A47"/>
    <w:rsid w:val="00D360FC"/>
    <w:rsid w:val="00D81313"/>
    <w:rsid w:val="00D83089"/>
    <w:rsid w:val="00E217BB"/>
    <w:rsid w:val="00E644BB"/>
    <w:rsid w:val="00F2055A"/>
    <w:rsid w:val="015772A4"/>
    <w:rsid w:val="03D97D42"/>
    <w:rsid w:val="05E32322"/>
    <w:rsid w:val="06A72E7D"/>
    <w:rsid w:val="09C23374"/>
    <w:rsid w:val="0A1254C0"/>
    <w:rsid w:val="0BCA1E58"/>
    <w:rsid w:val="0CDA2AA3"/>
    <w:rsid w:val="11B67142"/>
    <w:rsid w:val="14563AB5"/>
    <w:rsid w:val="14566FB5"/>
    <w:rsid w:val="14C27EC4"/>
    <w:rsid w:val="16C42CF3"/>
    <w:rsid w:val="1A8A6B41"/>
    <w:rsid w:val="1BC334F7"/>
    <w:rsid w:val="1DD376AD"/>
    <w:rsid w:val="1F0E6A21"/>
    <w:rsid w:val="1F3B416F"/>
    <w:rsid w:val="20C65AB1"/>
    <w:rsid w:val="20FE3F69"/>
    <w:rsid w:val="22D402FC"/>
    <w:rsid w:val="24254A36"/>
    <w:rsid w:val="24B92A42"/>
    <w:rsid w:val="25A7530D"/>
    <w:rsid w:val="29C933E6"/>
    <w:rsid w:val="29D5164A"/>
    <w:rsid w:val="2A550C2B"/>
    <w:rsid w:val="2C9867A0"/>
    <w:rsid w:val="2CBF3B56"/>
    <w:rsid w:val="2CE055A0"/>
    <w:rsid w:val="2E183864"/>
    <w:rsid w:val="303A1882"/>
    <w:rsid w:val="33C6837A"/>
    <w:rsid w:val="340B5D49"/>
    <w:rsid w:val="36F91662"/>
    <w:rsid w:val="38C1056E"/>
    <w:rsid w:val="38D67CAD"/>
    <w:rsid w:val="3A5A14D9"/>
    <w:rsid w:val="3A716474"/>
    <w:rsid w:val="3CA97EC6"/>
    <w:rsid w:val="3D4668D5"/>
    <w:rsid w:val="3E5A63AB"/>
    <w:rsid w:val="40635CA0"/>
    <w:rsid w:val="42AA33F6"/>
    <w:rsid w:val="453F5652"/>
    <w:rsid w:val="45537DEC"/>
    <w:rsid w:val="46AE28DD"/>
    <w:rsid w:val="4920769E"/>
    <w:rsid w:val="49FE0B3A"/>
    <w:rsid w:val="4B9B5CFC"/>
    <w:rsid w:val="4D78728B"/>
    <w:rsid w:val="4FA3164E"/>
    <w:rsid w:val="4FCD7F95"/>
    <w:rsid w:val="5113671D"/>
    <w:rsid w:val="51EB5143"/>
    <w:rsid w:val="53C73982"/>
    <w:rsid w:val="55FEC7D0"/>
    <w:rsid w:val="560D7115"/>
    <w:rsid w:val="563A7E9B"/>
    <w:rsid w:val="5A5B3A56"/>
    <w:rsid w:val="5A692190"/>
    <w:rsid w:val="5BE2623B"/>
    <w:rsid w:val="5C403FE1"/>
    <w:rsid w:val="5D9B663A"/>
    <w:rsid w:val="5D9F2CDA"/>
    <w:rsid w:val="5DFB5FF5"/>
    <w:rsid w:val="5FD8371D"/>
    <w:rsid w:val="61623FE6"/>
    <w:rsid w:val="64054982"/>
    <w:rsid w:val="66524D8D"/>
    <w:rsid w:val="665D260B"/>
    <w:rsid w:val="68162B3D"/>
    <w:rsid w:val="68C56DD4"/>
    <w:rsid w:val="69277FC6"/>
    <w:rsid w:val="6B131521"/>
    <w:rsid w:val="6B711EEA"/>
    <w:rsid w:val="6C551024"/>
    <w:rsid w:val="6D783409"/>
    <w:rsid w:val="6EC57659"/>
    <w:rsid w:val="70F721B2"/>
    <w:rsid w:val="714631FC"/>
    <w:rsid w:val="73282E88"/>
    <w:rsid w:val="749A0B24"/>
    <w:rsid w:val="75636C17"/>
    <w:rsid w:val="76C11EC3"/>
    <w:rsid w:val="77A309F0"/>
    <w:rsid w:val="77C80B53"/>
    <w:rsid w:val="7A931B2C"/>
    <w:rsid w:val="7B090A55"/>
    <w:rsid w:val="7B8B4F23"/>
    <w:rsid w:val="7BE3559E"/>
    <w:rsid w:val="7C900A21"/>
    <w:rsid w:val="7CAA1027"/>
    <w:rsid w:val="7DEF3A28"/>
    <w:rsid w:val="BA7C466E"/>
    <w:rsid w:val="BFEF49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widowControl w:val="0"/>
      <w:spacing w:before="100" w:beforeAutospacing="1" w:after="100" w:afterAutospacing="1"/>
      <w:outlineLvl w:val="1"/>
    </w:pPr>
    <w:rPr>
      <w:rFonts w:hint="eastAsia" w:ascii="宋体" w:hAnsi="宋体" w:eastAsia="宋体" w:cs="Times New Roman"/>
      <w:b/>
      <w:bCs/>
      <w:sz w:val="36"/>
      <w:szCs w:val="36"/>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4"/>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Autospacing="1" w:afterAutospacing="1"/>
      <w:jc w:val="left"/>
    </w:pPr>
    <w:rPr>
      <w:rFonts w:cs="Times New Roman"/>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文件正文"/>
    <w:basedOn w:val="1"/>
    <w:qFormat/>
    <w:uiPriority w:val="0"/>
    <w:pPr>
      <w:spacing w:line="588" w:lineRule="exact"/>
    </w:pPr>
    <w:rPr>
      <w:rFonts w:ascii="Times New Roman" w:hAnsi="Times New Roman" w:cs="Times New Roman"/>
      <w:snapToGrid w:val="0"/>
      <w:spacing w:val="-6"/>
      <w:kern w:val="0"/>
      <w:szCs w:val="32"/>
    </w:rPr>
  </w:style>
  <w:style w:type="paragraph" w:customStyle="1" w:styleId="11">
    <w:name w:val="文件正文标题"/>
    <w:basedOn w:val="10"/>
    <w:qFormat/>
    <w:uiPriority w:val="0"/>
    <w:pPr>
      <w:spacing w:line="620" w:lineRule="exact"/>
      <w:jc w:val="center"/>
      <w:outlineLvl w:val="0"/>
    </w:pPr>
    <w:rPr>
      <w:rFonts w:ascii="方正小标宋_GBK" w:hAnsi="方正小标宋_GBK" w:eastAsia="方正小标宋_GBK"/>
      <w:spacing w:val="0"/>
      <w:sz w:val="44"/>
      <w:szCs w:val="44"/>
    </w:rPr>
  </w:style>
  <w:style w:type="character" w:customStyle="1" w:styleId="12">
    <w:name w:val="页眉 Char"/>
    <w:basedOn w:val="9"/>
    <w:link w:val="5"/>
    <w:qFormat/>
    <w:uiPriority w:val="99"/>
    <w:rPr>
      <w:sz w:val="18"/>
      <w:szCs w:val="18"/>
    </w:rPr>
  </w:style>
  <w:style w:type="character" w:customStyle="1" w:styleId="13">
    <w:name w:val="页脚 Char"/>
    <w:basedOn w:val="9"/>
    <w:link w:val="4"/>
    <w:qFormat/>
    <w:uiPriority w:val="99"/>
    <w:rPr>
      <w:sz w:val="18"/>
      <w:szCs w:val="18"/>
    </w:rPr>
  </w:style>
  <w:style w:type="character" w:customStyle="1" w:styleId="14">
    <w:name w:val="批注框文本 Char"/>
    <w:basedOn w:val="9"/>
    <w:link w:val="3"/>
    <w:semiHidden/>
    <w:qFormat/>
    <w:uiPriority w:val="99"/>
    <w:rPr>
      <w:sz w:val="18"/>
      <w:szCs w:val="18"/>
    </w:rPr>
  </w:style>
  <w:style w:type="character" w:customStyle="1" w:styleId="15">
    <w:name w:val="font41"/>
    <w:basedOn w:val="9"/>
    <w:qFormat/>
    <w:uiPriority w:val="0"/>
    <w:rPr>
      <w:rFonts w:hint="eastAsia" w:ascii="宋体" w:hAnsi="宋体" w:eastAsia="宋体" w:cs="宋体"/>
      <w:color w:val="000000"/>
      <w:sz w:val="21"/>
      <w:szCs w:val="21"/>
      <w:u w:val="none"/>
    </w:rPr>
  </w:style>
  <w:style w:type="character" w:customStyle="1" w:styleId="16">
    <w:name w:val="font31"/>
    <w:basedOn w:val="9"/>
    <w:qFormat/>
    <w:uiPriority w:val="0"/>
    <w:rPr>
      <w:rFonts w:hint="eastAsia" w:ascii="宋体" w:hAnsi="宋体" w:eastAsia="宋体" w:cs="宋体"/>
      <w:color w:val="FF0000"/>
      <w:sz w:val="21"/>
      <w:szCs w:val="21"/>
      <w:u w:val="none"/>
    </w:rPr>
  </w:style>
  <w:style w:type="character" w:customStyle="1" w:styleId="17">
    <w:name w:val="font11"/>
    <w:basedOn w:val="9"/>
    <w:qFormat/>
    <w:uiPriority w:val="0"/>
    <w:rPr>
      <w:rFonts w:hint="eastAsia" w:ascii="宋体" w:hAnsi="宋体" w:eastAsia="宋体" w:cs="宋体"/>
      <w:color w:val="000000"/>
      <w:sz w:val="21"/>
      <w:szCs w:val="21"/>
      <w:u w:val="none"/>
    </w:rPr>
  </w:style>
  <w:style w:type="paragraph" w:customStyle="1" w:styleId="18">
    <w:name w:val="Table Text"/>
    <w:basedOn w:val="1"/>
    <w:semiHidden/>
    <w:qFormat/>
    <w:uiPriority w:val="0"/>
    <w:rPr>
      <w:rFonts w:ascii="宋体" w:hAnsi="宋体" w:eastAsia="宋体" w:cs="宋体"/>
      <w:sz w:val="14"/>
      <w:szCs w:val="14"/>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307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33558</Words>
  <Characters>40736</Characters>
  <Lines>342</Lines>
  <Paragraphs>96</Paragraphs>
  <TotalTime>14</TotalTime>
  <ScaleCrop>false</ScaleCrop>
  <LinksUpToDate>false</LinksUpToDate>
  <CharactersWithSpaces>41442</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2024-10-30T04:03:00Z</dcterms:created>
  <dc:creator>Windows 用户</dc:creator>
  <cp:lastModifiedBy>周媛</cp:lastModifiedBy>
  <cp:lastPrinted>2025-05-17T00:55:00Z</cp:lastPrinted>
  <dcterms:modified xsi:type="dcterms:W3CDTF">2025-09-02T01:53:34Z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171E60A417DD4DA8A53104215333A8F9_13</vt:lpwstr>
  </property>
  <property fmtid="{D5CDD505-2E9C-101B-9397-08002B2CF9AE}" pid="4" name="KSOTemplateDocerSaveRecord">
    <vt:lpwstr>eyJoZGlkIjoiNDgwMDJlOTc0NGJiOWM0OTRhNGZhMzBjMmQ4ODM5YTIifQ==</vt:lpwstr>
  </property>
</Properties>
</file>