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590" w:lineRule="exact"/>
        <w:textAlignment w:val="auto"/>
        <w:outlineLvl w:val="9"/>
        <w:rPr>
          <w:rFonts w:ascii="方正仿宋简体" w:hAnsi="方正仿宋简体"/>
          <w:color w:val="000000"/>
        </w:rPr>
      </w:pPr>
    </w:p>
    <w:p>
      <w:pPr>
        <w:pStyle w:val="2"/>
      </w:pP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outlineLvl w:val="9"/>
        <w:rPr>
          <w:rFonts w:hint="eastAsia" w:ascii="方正小标宋_GBK" w:eastAsia="方正小标宋_GBK"/>
          <w:sz w:val="44"/>
          <w:szCs w:val="44"/>
        </w:rPr>
      </w:pPr>
      <w:r>
        <w:rPr>
          <w:rFonts w:hint="eastAsia" w:ascii="方正小标宋_GBK" w:eastAsia="方正小标宋_GBK"/>
          <w:sz w:val="44"/>
          <w:szCs w:val="44"/>
        </w:rPr>
        <w:t>安徽省医疗保障局  安徽省财政厅关于</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outlineLvl w:val="9"/>
        <w:rPr>
          <w:rFonts w:hint="eastAsia" w:ascii="方正小标宋_GBK" w:eastAsia="方正小标宋_GBK"/>
          <w:sz w:val="44"/>
          <w:szCs w:val="44"/>
        </w:rPr>
      </w:pPr>
      <w:r>
        <w:rPr>
          <w:rFonts w:hint="eastAsia" w:ascii="方正小标宋_GBK" w:eastAsia="方正小标宋_GBK"/>
          <w:sz w:val="44"/>
          <w:szCs w:val="44"/>
        </w:rPr>
        <w:t>进一步规范统一医保基金支付范围的通知</w:t>
      </w:r>
    </w:p>
    <w:p>
      <w:pPr>
        <w:keepNext w:val="0"/>
        <w:keepLines w:val="0"/>
        <w:pageBreakBefore w:val="0"/>
        <w:widowControl w:val="0"/>
        <w:suppressAutoHyphens/>
        <w:kinsoku/>
        <w:wordWrap/>
        <w:overflowPunct/>
        <w:topLinePunct w:val="0"/>
        <w:autoSpaceDE/>
        <w:autoSpaceDN/>
        <w:bidi w:val="0"/>
        <w:adjustRightInd/>
        <w:snapToGrid w:val="0"/>
        <w:spacing w:line="590" w:lineRule="exact"/>
        <w:jc w:val="center"/>
        <w:textAlignment w:val="auto"/>
        <w:rPr>
          <w:rFonts w:hint="eastAsia" w:ascii="方正仿宋简体" w:hAnsi="方正仿宋简体" w:eastAsia="仿宋_GB2312" w:cs="方正仿宋简体"/>
          <w:color w:val="AF0F5B"/>
          <w:sz w:val="32"/>
          <w:szCs w:val="32"/>
          <w:lang w:eastAsia="zh-CN"/>
        </w:rPr>
      </w:pPr>
      <w:bookmarkStart w:id="0" w:name="strDocNo"/>
      <w:r>
        <w:rPr>
          <w:rFonts w:hint="eastAsia" w:eastAsia="方正仿宋_GBK" w:cs="Times New Roman"/>
          <w:color w:val="000000"/>
          <w:lang w:eastAsia="zh-CN"/>
        </w:rPr>
        <w:t>皖医保发〔2024〕7号</w:t>
      </w:r>
      <w:bookmarkEnd w:id="0"/>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eastAsia" w:eastAsia="方正仿宋_GBK"/>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right="0" w:rightChars="0"/>
        <w:jc w:val="both"/>
        <w:textAlignment w:val="auto"/>
        <w:outlineLvl w:val="9"/>
        <w:rPr>
          <w:rFonts w:hint="default" w:ascii="Times New Roman" w:hAnsi="Times New Roman" w:eastAsia="方正仿宋_GBK"/>
          <w:sz w:val="32"/>
          <w:szCs w:val="32"/>
        </w:rPr>
      </w:pPr>
      <w:r>
        <w:rPr>
          <w:rFonts w:hint="default" w:ascii="Times New Roman" w:hAnsi="Times New Roman" w:eastAsia="方正仿宋_GBK"/>
          <w:sz w:val="32"/>
          <w:szCs w:val="32"/>
        </w:rPr>
        <w:t>各市医疗保障局、财政局：</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仿宋_GBK"/>
          <w:sz w:val="32"/>
          <w:szCs w:val="32"/>
        </w:rPr>
      </w:pPr>
      <w:r>
        <w:rPr>
          <w:rFonts w:hint="default" w:ascii="Times New Roman" w:hAnsi="Times New Roman" w:eastAsia="方正仿宋_GBK"/>
          <w:sz w:val="32"/>
          <w:szCs w:val="32"/>
        </w:rPr>
        <w:t>为进一步落实《国家医保局 财政部关于建立医疗保障待遇清单制度的意见》（医保发〔2021〕5号）要求，结合《安徽省人民政府办公厅关于印发安徽省统一城乡居民基本医疗保险和大病保险保障待遇实施方案（试行）的通知》（皖政办〔2019〕14号）精神，坚持目标导向、结果导向，按照公平普惠、应保尽保原则，规范优化我省基本医疗保险和大病保险保障相关政策，不断提升参保群众获得感。现就有关事项通知如下：</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黑体_GBK"/>
          <w:sz w:val="32"/>
          <w:szCs w:val="32"/>
        </w:rPr>
      </w:pPr>
      <w:r>
        <w:rPr>
          <w:rFonts w:hint="default" w:ascii="Times New Roman" w:hAnsi="Times New Roman" w:eastAsia="方正黑体_GBK"/>
          <w:sz w:val="32"/>
          <w:szCs w:val="32"/>
        </w:rPr>
        <w:t>一、规范统一医保基金支付范围</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仿宋_GBK"/>
          <w:sz w:val="32"/>
          <w:szCs w:val="32"/>
        </w:rPr>
      </w:pPr>
      <w:r>
        <w:rPr>
          <w:rFonts w:hint="default" w:ascii="Times New Roman" w:hAnsi="Times New Roman" w:eastAsia="方正仿宋_GBK"/>
          <w:sz w:val="32"/>
          <w:szCs w:val="32"/>
        </w:rPr>
        <w:t>按照国家医疗保障待遇清单制度要求确定医保基金支付范围，基本医疗保险（职工基本医疗保险和城乡居民基本医疗保险）按照规定的药品、医用耗材和医疗服务项目支付范围支付。大病保险、医疗救助支付范围参照执行。医保目录由负面清单制管理向正面清单制管理转变。居民大病保险年度封顶线为30万元。</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黑体_GBK"/>
          <w:sz w:val="32"/>
          <w:szCs w:val="32"/>
        </w:rPr>
      </w:pPr>
      <w:r>
        <w:rPr>
          <w:rFonts w:hint="default" w:ascii="Times New Roman" w:hAnsi="Times New Roman" w:eastAsia="方正黑体_GBK"/>
          <w:sz w:val="32"/>
          <w:szCs w:val="32"/>
        </w:rPr>
        <w:t>二、优化完善医保待遇保障政策</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仿宋_GBK"/>
          <w:sz w:val="32"/>
          <w:szCs w:val="32"/>
        </w:rPr>
      </w:pPr>
      <w:r>
        <w:rPr>
          <w:rFonts w:hint="default" w:ascii="Times New Roman" w:hAnsi="Times New Roman" w:eastAsia="方正仿宋_GBK"/>
          <w:sz w:val="32"/>
          <w:szCs w:val="32"/>
        </w:rPr>
        <w:t>提高医保基金支付范围内医疗费用报销水平，依规逐步扩大医疗服务项目、医用耗材医保支付范围，理顺异地就医报销政策，确保患者享受公平适度的医疗保障待遇。</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仿宋_GBK"/>
          <w:sz w:val="32"/>
          <w:szCs w:val="32"/>
        </w:rPr>
      </w:pPr>
      <w:r>
        <w:rPr>
          <w:rFonts w:hint="default" w:ascii="Times New Roman" w:hAnsi="Times New Roman" w:eastAsia="方正楷体_GBK"/>
          <w:sz w:val="32"/>
          <w:szCs w:val="32"/>
        </w:rPr>
        <w:t>（一）下调居民医保省内异地就医报销起付线。</w:t>
      </w:r>
      <w:r>
        <w:rPr>
          <w:rFonts w:hint="default" w:ascii="Times New Roman" w:hAnsi="Times New Roman" w:eastAsia="方正仿宋_GBK"/>
          <w:sz w:val="32"/>
          <w:szCs w:val="32"/>
        </w:rPr>
        <w:t>将省内临时异地就医住院治疗的，一级及以下、二级和县级、三级（市属）、三级（省属）医疗机构起付线由原来增加1倍下调为0.5倍，进一步扩大基本医保段报销受益面。</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仿宋_GBK"/>
          <w:sz w:val="32"/>
          <w:szCs w:val="32"/>
        </w:rPr>
      </w:pPr>
      <w:r>
        <w:rPr>
          <w:rFonts w:hint="default" w:ascii="Times New Roman" w:hAnsi="Times New Roman" w:eastAsia="方正楷体_GBK"/>
          <w:sz w:val="32"/>
          <w:szCs w:val="32"/>
        </w:rPr>
        <w:t>（二）降低部分医保药品和项目个人先行自付比例</w:t>
      </w:r>
      <w:r>
        <w:rPr>
          <w:rFonts w:hint="default" w:ascii="Times New Roman" w:hAnsi="Times New Roman" w:eastAsia="方正仿宋_GBK"/>
          <w:sz w:val="32"/>
          <w:szCs w:val="32"/>
        </w:rPr>
        <w:t>。国家医保谈判药品、</w:t>
      </w:r>
      <w:r>
        <w:rPr>
          <w:rFonts w:hint="eastAsia" w:eastAsia="方正仿宋_GBK"/>
          <w:sz w:val="32"/>
          <w:szCs w:val="32"/>
          <w:lang w:eastAsia="zh-CN"/>
        </w:rPr>
        <w:t>“</w:t>
      </w:r>
      <w:r>
        <w:rPr>
          <w:rFonts w:hint="default" w:ascii="Times New Roman" w:hAnsi="Times New Roman" w:eastAsia="方正仿宋_GBK"/>
          <w:sz w:val="32"/>
          <w:szCs w:val="32"/>
        </w:rPr>
        <w:t>双通道</w:t>
      </w:r>
      <w:r>
        <w:rPr>
          <w:rFonts w:hint="eastAsia" w:eastAsia="方正仿宋_GBK"/>
          <w:sz w:val="32"/>
          <w:szCs w:val="32"/>
          <w:lang w:eastAsia="zh-CN"/>
        </w:rPr>
        <w:t>”</w:t>
      </w:r>
      <w:r>
        <w:rPr>
          <w:rFonts w:hint="default" w:ascii="Times New Roman" w:hAnsi="Times New Roman" w:eastAsia="方正仿宋_GBK"/>
          <w:sz w:val="32"/>
          <w:szCs w:val="32"/>
        </w:rPr>
        <w:t>管理药品、纳入基本医保部分支付的医疗服务项目，个人先行自付比例高于20%的，统一下调至20%；低于20%的，继续按照现行比例执行。进一步减轻患者医疗费用负担，推动国家医保谈判创新药落地使用，促进医疗服务发展。</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仿宋_GBK"/>
          <w:sz w:val="32"/>
          <w:szCs w:val="32"/>
        </w:rPr>
      </w:pPr>
      <w:r>
        <w:rPr>
          <w:rFonts w:hint="default" w:ascii="Times New Roman" w:hAnsi="Times New Roman" w:eastAsia="方正楷体_GBK"/>
          <w:sz w:val="32"/>
          <w:szCs w:val="32"/>
        </w:rPr>
        <w:t>（三）逐步提高门诊保障待遇水平。</w:t>
      </w:r>
      <w:r>
        <w:rPr>
          <w:rFonts w:hint="default" w:ascii="Times New Roman" w:hAnsi="Times New Roman" w:eastAsia="方正仿宋_GBK"/>
          <w:sz w:val="32"/>
          <w:szCs w:val="32"/>
        </w:rPr>
        <w:t>逐步提高居民医保普通门诊统筹年度支付限额，将报销范围从参保县域内一级及以下医保定点医疗机构拓展到参保市域内一级及以下医保定点基层医疗机构。实行门诊慢特病动态调整机制，逐步扩大门诊慢特病病种范围。</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仿宋_GBK"/>
          <w:sz w:val="32"/>
          <w:szCs w:val="32"/>
        </w:rPr>
      </w:pPr>
      <w:r>
        <w:rPr>
          <w:rFonts w:hint="default" w:ascii="Times New Roman" w:hAnsi="Times New Roman" w:eastAsia="方正楷体_GBK"/>
          <w:sz w:val="32"/>
          <w:szCs w:val="32"/>
        </w:rPr>
        <w:t>（四）理顺居民医保异地就医报销比例。</w:t>
      </w:r>
      <w:r>
        <w:rPr>
          <w:rFonts w:hint="default" w:ascii="Times New Roman" w:hAnsi="Times New Roman" w:eastAsia="方正仿宋_GBK"/>
          <w:sz w:val="32"/>
          <w:szCs w:val="32"/>
        </w:rPr>
        <w:t>对省内临时外出就医的，已办理转诊手续的报销比例在参保地相同级别医疗机构基础上下降5个百分点；未办理转诊手续的报销比例在参保地相同级别医疗机构基础上下降15个百分点。对省外临时外出就医的，已办理转诊手续的报销比例为60%，未办理转诊手续的报销比例为50%。对办理异地长期居住医保备案的异地长期居住人员，在省内或省外长期居住、生活、工作地就医的，起付标准、支付比例、最高支付限额等执行参保地规定的本地就医时的标准。</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黑体_GBK"/>
          <w:sz w:val="32"/>
          <w:szCs w:val="32"/>
        </w:rPr>
      </w:pPr>
      <w:r>
        <w:rPr>
          <w:rFonts w:hint="default" w:ascii="Times New Roman" w:hAnsi="Times New Roman" w:eastAsia="方正黑体_GBK"/>
          <w:sz w:val="32"/>
          <w:szCs w:val="32"/>
        </w:rPr>
        <w:t>三、健全罕见病用药保障制度</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仿宋_GBK"/>
          <w:sz w:val="32"/>
          <w:szCs w:val="32"/>
        </w:rPr>
      </w:pPr>
      <w:r>
        <w:rPr>
          <w:rFonts w:hint="default" w:ascii="Times New Roman" w:hAnsi="Times New Roman" w:eastAsia="方正仿宋_GBK"/>
          <w:sz w:val="32"/>
          <w:szCs w:val="32"/>
        </w:rPr>
        <w:t>对国家《罕见病目录》中收录的部分罕见病病种，目前特殊治疗药品尚未纳入基本医疗保险药品目录范围的，罕见病患者在省内发生的符合药品法定适应症的门诊或住院合规罕见病药品费用，大病保险基金实行单行支付。统一起付线为2万元，起付线以上部分继续执行大病保险分费用段按比例报销。0—5万元以内段，报销比例60%；5万元—10万元段，报销比例65%；10万元—20万元段，报销比例75%；20万元以上段，报销比例80%，支付金额计入大病保险年度最高支付限额。特困人员、低保对象和返贫致贫人口发生以上</w:t>
      </w:r>
      <w:r>
        <w:rPr>
          <w:rFonts w:hint="default" w:ascii="Times New Roman" w:hAnsi="Times New Roman" w:eastAsia="方正仿宋_GBK"/>
          <w:spacing w:val="-6"/>
          <w:sz w:val="32"/>
          <w:szCs w:val="32"/>
        </w:rPr>
        <w:t>费用，可继续享受大病保险倾斜支付政策，起付线降低50%、报销比例提高5个百分点，取消年度封顶线。省外异地就医的，办理异地长期居住医保备案的按照省内政策执行；已办理转诊手续的大病保险各段报销比例下降10个百分点，未办理转诊手续的大病保险</w:t>
      </w:r>
      <w:r>
        <w:rPr>
          <w:rFonts w:hint="default" w:ascii="Times New Roman" w:hAnsi="Times New Roman" w:eastAsia="方正仿宋_GBK"/>
          <w:sz w:val="32"/>
          <w:szCs w:val="32"/>
        </w:rPr>
        <w:t>各段报销比例下降20个百分点。</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黑体_GBK"/>
          <w:sz w:val="32"/>
          <w:szCs w:val="32"/>
        </w:rPr>
      </w:pPr>
      <w:r>
        <w:rPr>
          <w:rFonts w:hint="default" w:ascii="Times New Roman" w:hAnsi="Times New Roman" w:eastAsia="方正黑体_GBK"/>
          <w:sz w:val="32"/>
          <w:szCs w:val="32"/>
        </w:rPr>
        <w:t>四、发挥医疗救助托底保障作用</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仿宋_GBK"/>
          <w:sz w:val="32"/>
          <w:szCs w:val="32"/>
        </w:rPr>
      </w:pPr>
      <w:r>
        <w:rPr>
          <w:rFonts w:hint="default" w:ascii="Times New Roman" w:hAnsi="Times New Roman" w:eastAsia="方正仿宋_GBK"/>
          <w:sz w:val="32"/>
          <w:szCs w:val="32"/>
        </w:rPr>
        <w:t>因高额医疗费用支出导致家庭基本生活出现严重困难的大病参保患者，按照户申请、村（社区）评议、乡镇（街道）审核、县级医保、民政等部门联合确定的程序，认定为救助对象的，在身份认定前当年内个人自付的合规医疗费用可依申请追溯给予相应救助。</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黑体_GBK"/>
          <w:sz w:val="32"/>
          <w:szCs w:val="32"/>
        </w:rPr>
      </w:pPr>
      <w:r>
        <w:rPr>
          <w:rFonts w:hint="default" w:ascii="Times New Roman" w:hAnsi="Times New Roman" w:eastAsia="方正黑体_GBK"/>
          <w:sz w:val="32"/>
          <w:szCs w:val="32"/>
        </w:rPr>
        <w:t>五、支持商业补充医疗保险有效衔接</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仿宋_GBK"/>
          <w:sz w:val="32"/>
          <w:szCs w:val="32"/>
        </w:rPr>
      </w:pPr>
      <w:r>
        <w:rPr>
          <w:rFonts w:hint="default" w:ascii="Times New Roman" w:hAnsi="Times New Roman" w:eastAsia="方正仿宋_GBK"/>
          <w:sz w:val="32"/>
          <w:szCs w:val="32"/>
        </w:rPr>
        <w:t>支持商业保险公司按照市场化、规范化、利民化的原则，积极配合商业补充医疗保险主管部门不断优化</w:t>
      </w:r>
      <w:r>
        <w:rPr>
          <w:rFonts w:hint="eastAsia" w:eastAsia="方正仿宋_GBK"/>
          <w:sz w:val="32"/>
          <w:szCs w:val="32"/>
          <w:lang w:eastAsia="zh-CN"/>
        </w:rPr>
        <w:t>“</w:t>
      </w:r>
      <w:r>
        <w:rPr>
          <w:rFonts w:hint="default" w:ascii="Times New Roman" w:hAnsi="Times New Roman" w:eastAsia="方正仿宋_GBK"/>
          <w:sz w:val="32"/>
          <w:szCs w:val="32"/>
        </w:rPr>
        <w:t>安徽惠民保</w:t>
      </w:r>
      <w:r>
        <w:rPr>
          <w:rFonts w:hint="eastAsia" w:eastAsia="方正仿宋_GBK"/>
          <w:sz w:val="32"/>
          <w:szCs w:val="32"/>
          <w:lang w:eastAsia="zh-CN"/>
        </w:rPr>
        <w:t>”</w:t>
      </w:r>
      <w:r>
        <w:rPr>
          <w:rFonts w:hint="default" w:ascii="Times New Roman" w:hAnsi="Times New Roman" w:eastAsia="方正仿宋_GBK"/>
          <w:sz w:val="32"/>
          <w:szCs w:val="32"/>
        </w:rPr>
        <w:t>产品方案，逐步提高与基本医保目录外费用的衔接保障水平。支持参保人员使用职工医保个人账户资金为本人或直系亲属购买</w:t>
      </w:r>
      <w:r>
        <w:rPr>
          <w:rFonts w:hint="eastAsia" w:eastAsia="方正仿宋_GBK"/>
          <w:sz w:val="32"/>
          <w:szCs w:val="32"/>
          <w:lang w:eastAsia="zh-CN"/>
        </w:rPr>
        <w:t>“</w:t>
      </w:r>
      <w:r>
        <w:rPr>
          <w:rFonts w:hint="default" w:ascii="Times New Roman" w:hAnsi="Times New Roman" w:eastAsia="方正仿宋_GBK"/>
          <w:sz w:val="32"/>
          <w:szCs w:val="32"/>
        </w:rPr>
        <w:t>安徽惠民保</w:t>
      </w:r>
      <w:r>
        <w:rPr>
          <w:rFonts w:hint="eastAsia" w:eastAsia="方正仿宋_GBK"/>
          <w:sz w:val="32"/>
          <w:szCs w:val="32"/>
          <w:lang w:eastAsia="zh-CN"/>
        </w:rPr>
        <w:t>”</w:t>
      </w:r>
      <w:r>
        <w:rPr>
          <w:rFonts w:hint="default" w:ascii="Times New Roman" w:hAnsi="Times New Roman" w:eastAsia="方正仿宋_GBK"/>
          <w:sz w:val="32"/>
          <w:szCs w:val="32"/>
        </w:rPr>
        <w:t>。在开展政策宣传和参保动员宣传时，充分尊重群众参保意愿，坚持自愿参保原则，严禁与参加基本医保</w:t>
      </w:r>
      <w:r>
        <w:rPr>
          <w:rFonts w:hint="eastAsia" w:eastAsia="方正仿宋_GBK"/>
          <w:sz w:val="32"/>
          <w:szCs w:val="32"/>
          <w:lang w:eastAsia="zh-CN"/>
        </w:rPr>
        <w:t>“</w:t>
      </w:r>
      <w:r>
        <w:rPr>
          <w:rFonts w:hint="default" w:ascii="Times New Roman" w:hAnsi="Times New Roman" w:eastAsia="方正仿宋_GBK"/>
          <w:sz w:val="32"/>
          <w:szCs w:val="32"/>
        </w:rPr>
        <w:t>捆绑</w:t>
      </w:r>
      <w:r>
        <w:rPr>
          <w:rFonts w:hint="eastAsia" w:eastAsia="方正仿宋_GBK"/>
          <w:sz w:val="32"/>
          <w:szCs w:val="32"/>
          <w:lang w:eastAsia="zh-CN"/>
        </w:rPr>
        <w:t>”</w:t>
      </w:r>
      <w:r>
        <w:rPr>
          <w:rFonts w:hint="default" w:ascii="Times New Roman" w:hAnsi="Times New Roman" w:eastAsia="方正仿宋_GBK"/>
          <w:sz w:val="32"/>
          <w:szCs w:val="32"/>
        </w:rPr>
        <w:t>，禁止硬性摊派任务。通过构建多层次医疗保障体系，进一步提高参保人员医疗保障水平，减轻重特大疾病医疗费用负担。</w:t>
      </w:r>
    </w:p>
    <w:p>
      <w:pPr>
        <w:keepNext w:val="0"/>
        <w:keepLines w:val="0"/>
        <w:pageBreakBefore w:val="0"/>
        <w:widowControl w:val="0"/>
        <w:kinsoku/>
        <w:wordWrap/>
        <w:overflowPunct/>
        <w:topLinePunct w:val="0"/>
        <w:autoSpaceDE/>
        <w:autoSpaceDN/>
        <w:bidi w:val="0"/>
        <w:adjustRightInd/>
        <w:snapToGrid/>
        <w:spacing w:line="590" w:lineRule="exact"/>
        <w:ind w:left="0" w:right="0" w:rightChars="0" w:firstLine="640" w:firstLineChars="200"/>
        <w:jc w:val="both"/>
        <w:textAlignment w:val="auto"/>
        <w:outlineLvl w:val="9"/>
        <w:rPr>
          <w:rFonts w:hint="default" w:ascii="Times New Roman" w:hAnsi="Times New Roman" w:eastAsia="方正仿宋_GBK"/>
          <w:sz w:val="32"/>
          <w:szCs w:val="32"/>
        </w:rPr>
      </w:pPr>
      <w:r>
        <w:rPr>
          <w:rFonts w:hint="default" w:ascii="Times New Roman" w:hAnsi="Times New Roman" w:eastAsia="方正仿宋_GBK"/>
          <w:sz w:val="32"/>
          <w:szCs w:val="32"/>
        </w:rPr>
        <w:t>本通知自2025年1月1日起施行。具体由省医保局会同省财政厅负责解释。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90" w:lineRule="exact"/>
        <w:textAlignment w:val="auto"/>
        <w:outlineLvl w:val="9"/>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right="640" w:rightChars="200" w:firstLine="0" w:firstLineChars="0"/>
        <w:jc w:val="right"/>
        <w:textAlignment w:val="auto"/>
        <w:outlineLvl w:val="9"/>
        <w:rPr>
          <w:rFonts w:hint="default" w:ascii="Times New Roman" w:hAnsi="Times New Roman" w:eastAsia="仿宋_GB2312" w:cs="Times New Roman"/>
          <w:sz w:val="32"/>
          <w:szCs w:val="32"/>
        </w:rPr>
      </w:pPr>
      <w:r>
        <w:rPr>
          <w:rFonts w:hint="default" w:ascii="Times New Roman" w:hAnsi="Times New Roman" w:eastAsia="方正仿宋_GBK"/>
          <w:sz w:val="32"/>
          <w:szCs w:val="32"/>
        </w:rPr>
        <w:t>安徽省医疗保障局  安徽省财政厅</w:t>
      </w:r>
      <w:r>
        <w:rPr>
          <w:rFonts w:hint="default" w:ascii="Times New Roman" w:hAnsi="Times New Roman" w:eastAsia="仿宋_GB2312" w:cs="Times New Roman"/>
          <w:sz w:val="34"/>
          <w:szCs w:val="34"/>
        </w:rPr>
        <w:t>　　</w:t>
      </w:r>
      <w:r>
        <w:rPr>
          <w:rFonts w:hint="default" w:ascii="Times New Roman" w:hAnsi="Times New Roman" w:eastAsia="仿宋_GB2312" w:cs="Times New Roman"/>
          <w:sz w:val="28"/>
          <w:szCs w:val="28"/>
        </w:rPr>
        <w:t>　</w:t>
      </w:r>
      <w:r>
        <w:rPr>
          <w:rFonts w:hint="default" w:ascii="Times New Roman" w:hAnsi="Times New Roman" w:eastAsia="仿宋_GB2312" w:cs="Times New Roman"/>
          <w:sz w:val="29"/>
          <w:szCs w:val="29"/>
        </w:rPr>
        <w:t>　</w:t>
      </w:r>
    </w:p>
    <w:p>
      <w:pPr>
        <w:keepNext w:val="0"/>
        <w:keepLines w:val="0"/>
        <w:pageBreakBefore w:val="0"/>
        <w:widowControl w:val="0"/>
        <w:kinsoku/>
        <w:wordWrap/>
        <w:overflowPunct/>
        <w:topLinePunct w:val="0"/>
        <w:autoSpaceDE/>
        <w:autoSpaceDN/>
        <w:bidi w:val="0"/>
        <w:adjustRightInd/>
        <w:spacing w:line="590" w:lineRule="exact"/>
        <w:ind w:firstLine="6080" w:firstLineChars="19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4</w:t>
      </w:r>
      <w:r>
        <w:rPr>
          <w:rFonts w:hint="default" w:ascii="方正仿宋_GBK" w:hAnsi="方正仿宋_GBK" w:eastAsia="方正仿宋_GBK" w:cs="方正仿宋_GBK"/>
          <w:sz w:val="32"/>
          <w:szCs w:val="32"/>
        </w:rPr>
        <w:t>年</w:t>
      </w:r>
      <w:r>
        <w:rPr>
          <w:rFonts w:hint="eastAsia" w:ascii="Times New Roman" w:hAnsi="Times New Roman" w:eastAsia="仿宋_GB2312" w:cs="Times New Roman"/>
          <w:sz w:val="32"/>
          <w:szCs w:val="32"/>
          <w:lang w:val="en-US" w:eastAsia="zh-CN"/>
        </w:rPr>
        <w:t>12</w:t>
      </w:r>
      <w:r>
        <w:rPr>
          <w:rFonts w:hint="eastAsia" w:ascii="方正仿宋_GBK" w:hAnsi="方正仿宋_GBK" w:eastAsia="方正仿宋_GBK" w:cs="方正仿宋_GBK"/>
          <w:sz w:val="32"/>
          <w:szCs w:val="32"/>
          <w:lang w:val="en-US" w:eastAsia="zh-CN"/>
        </w:rPr>
        <w:t>月</w:t>
      </w:r>
      <w:r>
        <w:rPr>
          <w:rFonts w:hint="eastAsia" w:eastAsia="仿宋_GB2312" w:cs="Times New Roman"/>
          <w:sz w:val="32"/>
          <w:szCs w:val="32"/>
          <w:lang w:val="en-US" w:eastAsia="zh-CN"/>
        </w:rPr>
        <w:t>13</w:t>
      </w:r>
      <w:r>
        <w:rPr>
          <w:rFonts w:hint="default" w:ascii="方正仿宋_GBK" w:hAnsi="方正仿宋_GBK" w:eastAsia="方正仿宋_GBK" w:cs="方正仿宋_GBK"/>
          <w:sz w:val="32"/>
          <w:szCs w:val="32"/>
        </w:rPr>
        <w:t>日</w:t>
      </w:r>
      <w:r>
        <w:rPr>
          <w:rFonts w:hint="default" w:ascii="Times New Roman" w:hAnsi="Times New Roman" w:eastAsia="仿宋_GB2312" w:cs="Times New Roman"/>
          <w:sz w:val="32"/>
          <w:szCs w:val="32"/>
        </w:rPr>
        <w:t>　</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pPr>
      <w:bookmarkStart w:id="1" w:name="_GoBack"/>
      <w:bookmarkEnd w:id="1"/>
      <w:r>
        <w:rPr>
          <w:rFonts w:hint="eastAsia" w:eastAsia="仿宋_GB2312" w:cs="Times New Roman"/>
          <w:sz w:val="32"/>
          <w:szCs w:val="32"/>
          <w:lang w:eastAsia="zh-CN"/>
        </w:rPr>
        <w:t>（</w:t>
      </w:r>
      <w:r>
        <w:rPr>
          <w:rFonts w:hint="eastAsia" w:eastAsia="仿宋_GB2312" w:cs="Times New Roman"/>
          <w:sz w:val="32"/>
          <w:szCs w:val="32"/>
          <w:lang w:val="en-US" w:eastAsia="zh-CN"/>
        </w:rPr>
        <w:t>此件公开发布</w:t>
      </w:r>
      <w:r>
        <w:rPr>
          <w:rFonts w:hint="eastAsia" w:eastAsia="仿宋_GB2312" w:cs="Times New Roman"/>
          <w:sz w:val="32"/>
          <w:szCs w:val="32"/>
          <w:lang w:eastAsia="zh-CN"/>
        </w:rPr>
        <w:t>）</w:t>
      </w:r>
      <w:r>
        <w:rPr>
          <w:rFonts w:hint="default" w:ascii="Times New Roman" w:hAnsi="Times New Roman" w:eastAsia="仿宋_GB2312" w:cs="Times New Roman"/>
          <w:sz w:val="32"/>
          <w:szCs w:val="32"/>
        </w:rPr>
        <w:t>　</w:t>
      </w:r>
    </w:p>
    <w:p>
      <w:pPr>
        <w:keepNext w:val="0"/>
        <w:keepLines w:val="0"/>
        <w:pageBreakBefore w:val="0"/>
        <w:widowControl w:val="0"/>
        <w:kinsoku/>
        <w:wordWrap/>
        <w:overflowPunct/>
        <w:topLinePunct w:val="0"/>
        <w:autoSpaceDE/>
        <w:autoSpaceDN/>
        <w:bidi w:val="0"/>
        <w:adjustRightInd/>
        <w:spacing w:line="590" w:lineRule="exact"/>
        <w:textAlignment w:val="auto"/>
      </w:pPr>
    </w:p>
    <w:p>
      <w:pPr>
        <w:keepNext w:val="0"/>
        <w:keepLines w:val="0"/>
        <w:pageBreakBefore w:val="0"/>
        <w:widowControl w:val="0"/>
        <w:kinsoku/>
        <w:wordWrap/>
        <w:overflowPunct/>
        <w:topLinePunct w:val="0"/>
        <w:autoSpaceDE/>
        <w:autoSpaceDN/>
        <w:bidi w:val="0"/>
        <w:adjustRightInd/>
        <w:spacing w:line="590" w:lineRule="exact"/>
        <w:textAlignment w:val="auto"/>
      </w:pPr>
    </w:p>
    <w:p>
      <w:pPr>
        <w:keepNext w:val="0"/>
        <w:keepLines w:val="0"/>
        <w:pageBreakBefore w:val="0"/>
        <w:widowControl w:val="0"/>
        <w:kinsoku/>
        <w:wordWrap/>
        <w:overflowPunct/>
        <w:topLinePunct w:val="0"/>
        <w:autoSpaceDE/>
        <w:autoSpaceDN/>
        <w:bidi w:val="0"/>
        <w:adjustRightInd/>
        <w:spacing w:line="590" w:lineRule="exact"/>
        <w:textAlignment w:val="auto"/>
      </w:pPr>
    </w:p>
    <w:sectPr>
      <w:headerReference r:id="rId3" w:type="default"/>
      <w:footerReference r:id="rId5" w:type="default"/>
      <w:headerReference r:id="rId4" w:type="even"/>
      <w:footerReference r:id="rId6" w:type="even"/>
      <w:pgSz w:w="11906" w:h="16838"/>
      <w:pgMar w:top="1871" w:right="1474" w:bottom="1587" w:left="1474" w:header="851" w:footer="1134" w:gutter="0"/>
      <w:cols w:space="0" w:num="1"/>
      <w:docGrid w:type="lines" w:linePitch="6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2000000000000000000"/>
    <w:charset w:val="86"/>
    <w:family w:val="script"/>
    <w:pitch w:val="default"/>
    <w:sig w:usb0="A00002BF" w:usb1="38CF7CFA" w:usb2="00082016" w:usb3="00000000" w:csb0="00040001"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snapToGrid w:val="0"/>
      <w:spacing w:line="100" w:lineRule="exact"/>
      <w:rPr>
        <w:sz w:val="1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-15875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1</w:t>
                          </w:r>
                          <w:r>
                            <w:rPr>
                              <w:rFonts w:ascii="Times New Roman" w:hAnsi="Times New Roman" w:cs="Times New Roman"/>
                              <w:sz w:val="24"/>
                            </w:rPr>
                            <w:fldChar w:fldCharType="end"/>
                          </w:r>
                          <w:r>
                            <w:rPr>
                              <w:rFonts w:hint="eastAsia" w:ascii="Times New Roman" w:hAnsi="Times New Roman" w:cs="Times New Roman"/>
                              <w:sz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1.25pt;height:144pt;width:144pt;mso-position-horizontal:outside;mso-position-horizontal-relative:margin;mso-wrap-style:none;z-index:251662336;mso-width-relative:page;mso-height-relative:page;" filled="f" stroked="f" coordsize="21600,21600" o:gfxdata="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Kv/UcrUAAAABwEAAA8AAAAAAAAAAQAgAAAAIgAAAGRycy9kb3ducmV2LnhtbFBLAQIUABQAAAAI&#10;AIdO4kAm1VpzKgIAAFUEAAAOAAAAAAAAAAEAIAAAACMBAABkcnMvZTJvRG9jLnhtbFBLBQYAAAAA&#10;BgAGAFkBAAC/BQAAAAA=&#10;">
              <v:fill on="f" focussize="0,0"/>
              <v:stroke on="f" weight="0.5pt"/>
              <v:imagedata o:title=""/>
              <o:lock v:ext="edit" aspectratio="f"/>
              <v:textbox inset="0mm,0mm,0mm,0mm" style="mso-fit-shape-to-text:t;">
                <w:txbxContent>
                  <w:p>
                    <w:pPr>
                      <w:pStyle w:val="4"/>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1</w:t>
                    </w:r>
                    <w:r>
                      <w:rPr>
                        <w:rFonts w:ascii="Times New Roman" w:hAnsi="Times New Roman" w:cs="Times New Roman"/>
                        <w:sz w:val="24"/>
                      </w:rPr>
                      <w:fldChar w:fldCharType="end"/>
                    </w:r>
                    <w:r>
                      <w:rPr>
                        <w:rFonts w:hint="eastAsia" w:ascii="Times New Roman" w:hAnsi="Times New Roman" w:cs="Times New Roman"/>
                        <w:sz w:val="24"/>
                      </w:rPr>
                      <w:t xml:space="preserve"> —</w:t>
                    </w:r>
                  </w:p>
                </w:txbxContent>
              </v:textbox>
            </v:shape>
          </w:pict>
        </mc:Fallback>
      </mc:AlternateContent>
    </w:r>
  </w:p>
  <w:p>
    <w:pPr>
      <w:pBdr>
        <w:top w:val="none" w:color="auto" w:sz="0" w:space="1"/>
        <w:left w:val="none" w:color="auto" w:sz="0" w:space="4"/>
        <w:bottom w:val="none" w:color="auto" w:sz="0" w:space="1"/>
        <w:right w:val="none" w:color="auto" w:sz="0" w:space="4"/>
      </w:pBdr>
      <w:snapToGrid w:val="0"/>
      <w:spacing w:line="100" w:lineRule="exact"/>
      <w:rPr>
        <w:sz w:val="18"/>
      </w:rPr>
    </w:pPr>
  </w:p>
  <w:p>
    <w:pPr>
      <w:pBdr>
        <w:top w:val="none" w:color="auto" w:sz="0" w:space="1"/>
        <w:left w:val="none" w:color="auto" w:sz="0" w:space="4"/>
        <w:bottom w:val="none" w:color="auto" w:sz="0" w:space="1"/>
        <w:right w:val="none" w:color="auto" w:sz="0" w:space="4"/>
      </w:pBdr>
      <w:snapToGrid w:val="0"/>
      <w:spacing w:line="100" w:lineRule="exact"/>
      <w:rPr>
        <w:sz w:val="18"/>
      </w:rPr>
    </w:pPr>
  </w:p>
  <w:tbl>
    <w:tblPr>
      <w:tblStyle w:val="7"/>
      <w:tblW w:w="8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CellMar>
          <w:top w:w="0" w:type="dxa"/>
          <w:left w:w="108" w:type="dxa"/>
          <w:bottom w:w="0" w:type="dxa"/>
          <w:right w:w="108" w:type="dxa"/>
        </w:tblCellMar>
      </w:tblPrEx>
      <w:trPr>
        <w:trHeight w:val="28" w:hRule="exact"/>
        <w:jc w:val="center"/>
      </w:trPr>
      <w:tc>
        <w:tcPr>
          <w:tcW w:w="8957" w:type="dxa"/>
          <w:tcBorders>
            <w:tl2br w:val="nil"/>
            <w:tr2bl w:val="nil"/>
          </w:tcBorders>
          <w:shd w:val="clear" w:color="auto" w:fill="000000" w:themeFill="text1"/>
        </w:tcPr>
        <w:p>
          <w:pPr>
            <w:snapToGrid w:val="0"/>
            <w:rPr>
              <w:sz w:val="18"/>
            </w:rPr>
          </w:pPr>
        </w:p>
      </w:tc>
    </w:tr>
  </w:tbl>
  <w:p>
    <w:pPr>
      <w:pBdr>
        <w:top w:val="none" w:color="auto" w:sz="0" w:space="1"/>
        <w:left w:val="none" w:color="auto" w:sz="0" w:space="4"/>
        <w:bottom w:val="none" w:color="auto" w:sz="0" w:space="1"/>
        <w:right w:val="none" w:color="auto" w:sz="0" w:space="4"/>
      </w:pBdr>
      <w:snapToGrid w:val="0"/>
      <w:spacing w:line="20" w:lineRule="exact"/>
      <w:rPr>
        <w:sz w:val="18"/>
      </w:rPr>
    </w:pPr>
    <w:r>
      <w:rPr>
        <w:sz w:val="18"/>
      </w:rPr>
      <mc:AlternateContent>
        <mc:Choice Requires="wps">
          <w:drawing>
            <wp:anchor distT="0" distB="0" distL="114300" distR="114300" simplePos="0" relativeHeight="251661312" behindDoc="0" locked="0" layoutInCell="1" allowOverlap="1">
              <wp:simplePos x="0" y="0"/>
              <wp:positionH relativeFrom="column">
                <wp:posOffset>2846070</wp:posOffset>
              </wp:positionH>
              <wp:positionV relativeFrom="paragraph">
                <wp:posOffset>8255</wp:posOffset>
              </wp:positionV>
              <wp:extent cx="2739390" cy="320040"/>
              <wp:effectExtent l="0" t="0" r="0" b="0"/>
              <wp:wrapNone/>
              <wp:docPr id="5" name="文本框 5"/>
              <wp:cNvGraphicFramePr/>
              <a:graphic xmlns:a="http://schemas.openxmlformats.org/drawingml/2006/main">
                <a:graphicData uri="http://schemas.microsoft.com/office/word/2010/wordprocessingShape">
                  <wps:wsp>
                    <wps:cNvSpPr txBox="1"/>
                    <wps:spPr>
                      <a:xfrm>
                        <a:off x="1130935" y="777240"/>
                        <a:ext cx="2739390" cy="320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jc w:val="center"/>
                          </w:pPr>
                          <w:r>
                            <w:rPr>
                              <w:rFonts w:hint="eastAsia" w:asciiTheme="minorEastAsia" w:hAnsiTheme="minorEastAsia" w:cstheme="minorEastAsia"/>
                              <w:sz w:val="28"/>
                              <w:szCs w:val="28"/>
                            </w:rPr>
                            <w:t>安徽省医疗保障局发布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4.1pt;margin-top:0.65pt;height:25.2pt;width:215.7pt;z-index:251661312;mso-width-relative:page;mso-height-relative:page;" filled="f" stroked="f" coordsize="21600,21600" o:gfxdata="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LCF69PaAAAACAEAAA8AAAAA&#10;AAAAAQAgAAAAIgAAAGRycy9kb3ducmV2LnhtbFBLAQIUABQAAAAIAIdO4kBsulyoSwIAAH8EAAAO&#10;AAAAAAAAAAEAIAAAACkBAABkcnMvZTJvRG9jLnhtbFBLBQYAAAAABgAGAFkBAADmBQAAAAA=&#10;">
              <v:fill on="f" focussize="0,0"/>
              <v:stroke on="f" weight="0.5pt"/>
              <v:imagedata o:title=""/>
              <o:lock v:ext="edit" aspectratio="f"/>
              <v:textbox>
                <w:txbxContent>
                  <w:p>
                    <w:pPr>
                      <w:snapToGrid w:val="0"/>
                      <w:jc w:val="center"/>
                    </w:pPr>
                    <w:r>
                      <w:rPr>
                        <w:rFonts w:hint="eastAsia" w:asciiTheme="minorEastAsia" w:hAnsiTheme="minorEastAsia" w:cstheme="minorEastAsia"/>
                        <w:sz w:val="28"/>
                        <w:szCs w:val="28"/>
                      </w:rPr>
                      <w:t>安徽省医疗保障局发布</w:t>
                    </w:r>
                  </w:p>
                </w:txbxContent>
              </v:textbox>
            </v:shape>
          </w:pict>
        </mc:Fallback>
      </mc:AlternateContent>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snapToGrid w:val="0"/>
      <w:spacing w:line="100" w:lineRule="exact"/>
      <w:rPr>
        <w:sz w:val="18"/>
      </w:rPr>
    </w:pPr>
    <w:r>
      <w:rPr>
        <w:sz w:val="18"/>
      </w:rPr>
      <mc:AlternateContent>
        <mc:Choice Requires="wps">
          <w:drawing>
            <wp:anchor distT="0" distB="0" distL="114300" distR="114300" simplePos="0" relativeHeight="251664384" behindDoc="0" locked="0" layoutInCell="1" allowOverlap="1">
              <wp:simplePos x="0" y="0"/>
              <wp:positionH relativeFrom="margin">
                <wp:posOffset>0</wp:posOffset>
              </wp:positionH>
              <wp:positionV relativeFrom="paragraph">
                <wp:posOffset>-15875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4"/>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2</w:t>
                          </w:r>
                          <w:r>
                            <w:rPr>
                              <w:rFonts w:ascii="Times New Roman" w:hAnsi="Times New Roman" w:cs="Times New Roman"/>
                              <w:sz w:val="24"/>
                            </w:rPr>
                            <w:fldChar w:fldCharType="end"/>
                          </w:r>
                          <w:r>
                            <w:rPr>
                              <w:rFonts w:hint="eastAsia" w:ascii="Times New Roman" w:hAnsi="Times New Roman" w:cs="Times New Roman"/>
                              <w:sz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pt;margin-top:-1.25pt;height:144pt;width:144pt;mso-position-horizontal-relative:margin;mso-wrap-style:none;z-index:251664384;mso-width-relative:page;mso-height-relative:page;" filled="f" stroked="f" coordsize="21600,21600" o:gfxdata="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r/1HK1AAAAAcBAAAPAAAAAAAAAAEAIAAAACIAAABkcnMvZG93bnJldi54bWxQSwEC&#10;FAAUAAAACACHTuJAsc8XrDECAABjBAAADgAAAAAAAAABACAAAAAjAQAAZHJzL2Uyb0RvYy54bWxQ&#10;SwUGAAAAAAYABgBZAQAAxgUAAAAA&#10;">
              <v:fill on="f" focussize="0,0"/>
              <v:stroke on="f" weight="0.5pt"/>
              <v:imagedata o:title=""/>
              <o:lock v:ext="edit" aspectratio="f"/>
              <v:textbox inset="0mm,0mm,0mm,0mm" style="mso-fit-shape-to-text:t;">
                <w:txbxContent>
                  <w:p>
                    <w:pPr>
                      <w:pStyle w:val="4"/>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2</w:t>
                    </w:r>
                    <w:r>
                      <w:rPr>
                        <w:rFonts w:ascii="Times New Roman" w:hAnsi="Times New Roman" w:cs="Times New Roman"/>
                        <w:sz w:val="24"/>
                      </w:rPr>
                      <w:fldChar w:fldCharType="end"/>
                    </w:r>
                    <w:r>
                      <w:rPr>
                        <w:rFonts w:hint="eastAsia" w:ascii="Times New Roman" w:hAnsi="Times New Roman" w:cs="Times New Roman"/>
                        <w:sz w:val="24"/>
                      </w:rPr>
                      <w:t xml:space="preserve"> —</w:t>
                    </w:r>
                  </w:p>
                </w:txbxContent>
              </v:textbox>
            </v:shape>
          </w:pict>
        </mc:Fallback>
      </mc:AlternateContent>
    </w:r>
  </w:p>
  <w:p>
    <w:pPr>
      <w:pBdr>
        <w:top w:val="none" w:color="auto" w:sz="0" w:space="1"/>
        <w:left w:val="none" w:color="auto" w:sz="0" w:space="4"/>
        <w:bottom w:val="none" w:color="auto" w:sz="0" w:space="1"/>
        <w:right w:val="none" w:color="auto" w:sz="0" w:space="4"/>
      </w:pBdr>
      <w:snapToGrid w:val="0"/>
      <w:spacing w:line="100" w:lineRule="exact"/>
      <w:rPr>
        <w:rFonts w:hint="eastAsia"/>
        <w:sz w:val="18"/>
      </w:rPr>
    </w:pPr>
  </w:p>
  <w:p>
    <w:pPr>
      <w:pBdr>
        <w:top w:val="none" w:color="auto" w:sz="0" w:space="1"/>
        <w:left w:val="none" w:color="auto" w:sz="0" w:space="4"/>
        <w:bottom w:val="none" w:color="auto" w:sz="0" w:space="1"/>
        <w:right w:val="none" w:color="auto" w:sz="0" w:space="4"/>
      </w:pBdr>
      <w:snapToGrid w:val="0"/>
      <w:spacing w:line="100" w:lineRule="exact"/>
      <w:rPr>
        <w:rFonts w:hint="eastAsia"/>
        <w:sz w:val="18"/>
      </w:rPr>
    </w:pPr>
  </w:p>
  <w:tbl>
    <w:tblPr>
      <w:tblStyle w:val="7"/>
      <w:tblW w:w="8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 w:hRule="exact"/>
        <w:jc w:val="center"/>
      </w:trPr>
      <w:tc>
        <w:tcPr>
          <w:tcW w:w="8957" w:type="dxa"/>
          <w:tcBorders>
            <w:tl2br w:val="nil"/>
            <w:tr2bl w:val="nil"/>
          </w:tcBorders>
          <w:shd w:val="clear" w:color="auto" w:fill="000000" w:themeFill="text1"/>
        </w:tcPr>
        <w:p>
          <w:pPr>
            <w:snapToGrid w:val="0"/>
            <w:rPr>
              <w:sz w:val="18"/>
            </w:rPr>
          </w:pPr>
        </w:p>
      </w:tc>
    </w:tr>
  </w:tbl>
  <w:p>
    <w:pPr>
      <w:pBdr>
        <w:top w:val="none" w:color="auto" w:sz="0" w:space="1"/>
        <w:left w:val="none" w:color="auto" w:sz="0" w:space="4"/>
        <w:bottom w:val="none" w:color="auto" w:sz="0" w:space="1"/>
        <w:right w:val="none" w:color="auto" w:sz="0" w:space="4"/>
      </w:pBdr>
      <w:snapToGrid w:val="0"/>
      <w:spacing w:line="20" w:lineRule="exact"/>
      <w:rPr>
        <w:sz w:val="18"/>
      </w:rPr>
    </w:pPr>
    <w:r>
      <w:rPr>
        <w:sz w:val="18"/>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-1270</wp:posOffset>
              </wp:positionV>
              <wp:extent cx="2739390" cy="320040"/>
              <wp:effectExtent l="0" t="0" r="0" b="3810"/>
              <wp:wrapNone/>
              <wp:docPr id="9" name="文本框 9"/>
              <wp:cNvGraphicFramePr/>
              <a:graphic xmlns:a="http://schemas.openxmlformats.org/drawingml/2006/main">
                <a:graphicData uri="http://schemas.microsoft.com/office/word/2010/wordprocessingShape">
                  <wps:wsp>
                    <wps:cNvSpPr txBox="1"/>
                    <wps:spPr>
                      <a:xfrm>
                        <a:off x="0" y="0"/>
                        <a:ext cx="2739390" cy="320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jc w:val="center"/>
                            <w:rPr>
                              <w:sz w:val="28"/>
                              <w:szCs w:val="28"/>
                            </w:rPr>
                          </w:pPr>
                          <w:r>
                            <w:rPr>
                              <w:rFonts w:hint="eastAsia" w:asciiTheme="minorEastAsia" w:hAnsiTheme="minorEastAsia" w:cstheme="minorEastAsia"/>
                              <w:sz w:val="28"/>
                              <w:szCs w:val="28"/>
                            </w:rPr>
                            <w:t>安徽省医疗保障局发布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15pt;margin-top:-0.1pt;height:25.2pt;width:215.7pt;z-index:251663360;mso-width-relative:page;mso-height-relative:page;" filled="f" stroked="f" coordsize="21600,21600" o:gfxdata="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Jl5MSDXAAAABgEAAA8AAAAAAAAAAQAgAAAAIgAA&#10;AGRycy9kb3ducmV2LnhtbFBLAQIUABQAAAAIAIdO4kClbYJwQgIAAHQEAAAOAAAAAAAAAAEAIAAA&#10;ACYBAABkcnMvZTJvRG9jLnhtbFBLBQYAAAAABgAGAFkBAADaBQAAAAA=&#10;">
              <v:fill on="f" focussize="0,0"/>
              <v:stroke on="f" weight="0.5pt"/>
              <v:imagedata o:title=""/>
              <o:lock v:ext="edit" aspectratio="f"/>
              <v:textbox>
                <w:txbxContent>
                  <w:p>
                    <w:pPr>
                      <w:snapToGrid w:val="0"/>
                      <w:jc w:val="center"/>
                      <w:rPr>
                        <w:sz w:val="28"/>
                        <w:szCs w:val="28"/>
                      </w:rPr>
                    </w:pPr>
                    <w:r>
                      <w:rPr>
                        <w:rFonts w:hint="eastAsia" w:asciiTheme="minorEastAsia" w:hAnsiTheme="minorEastAsia" w:cstheme="minorEastAsia"/>
                        <w:sz w:val="28"/>
                        <w:szCs w:val="28"/>
                      </w:rPr>
                      <w:t>安徽省医疗保障局发布</w:t>
                    </w:r>
                  </w:p>
                </w:txbxContent>
              </v:textbox>
            </v:shape>
          </w:pict>
        </mc:Fallback>
      </mc:AlternateContent>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napToGrid/>
      <w:spacing w:before="168" w:beforeLines="70"/>
    </w:pPr>
    <w:r>
      <mc:AlternateContent>
        <mc:Choice Requires="wps">
          <w:drawing>
            <wp:anchor distT="0" distB="0" distL="114300" distR="114300" simplePos="0" relativeHeight="251659264" behindDoc="0" locked="0" layoutInCell="1" allowOverlap="1">
              <wp:simplePos x="0" y="0"/>
              <wp:positionH relativeFrom="column">
                <wp:posOffset>194945</wp:posOffset>
              </wp:positionH>
              <wp:positionV relativeFrom="paragraph">
                <wp:posOffset>224155</wp:posOffset>
              </wp:positionV>
              <wp:extent cx="3048635" cy="320040"/>
              <wp:effectExtent l="0" t="0" r="0" b="0"/>
              <wp:wrapNone/>
              <wp:docPr id="2" name="文本框 2"/>
              <wp:cNvGraphicFramePr/>
              <a:graphic xmlns:a="http://schemas.openxmlformats.org/drawingml/2006/main">
                <a:graphicData uri="http://schemas.microsoft.com/office/word/2010/wordprocessingShape">
                  <wps:wsp>
                    <wps:cNvSpPr txBox="1"/>
                    <wps:spPr>
                      <a:xfrm>
                        <a:off x="1283335" y="746760"/>
                        <a:ext cx="3048635" cy="3200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pPr>
                          <w:r>
                            <w:rPr>
                              <w:rFonts w:hint="eastAsia" w:asciiTheme="minorEastAsia" w:hAnsiTheme="minorEastAsia" w:cstheme="minorEastAsia"/>
                              <w:sz w:val="32"/>
                              <w:szCs w:val="32"/>
                            </w:rPr>
                            <w:t>安徽省医疗保障局规范性文件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35pt;margin-top:17.65pt;height:25.2pt;width:240.05pt;z-index:251659264;mso-width-relative:page;mso-height-relative:page;" filled="f" stroked="f" coordsize="21600,21600" o:gfxdata="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GO9rAnaAAAACAEAAA8AAAAAAAAAAQAg&#10;AAAAIgAAAGRycy9kb3ducmV2LnhtbFBLAQIUABQAAAAIAIdO4kAJjB+wRQIAAHEEAAAOAAAAAAAA&#10;AAEAIAAAACkBAABkcnMvZTJvRG9jLnhtbFBLBQYAAAAABgAGAFkBAADgBQAAAAA=&#10;">
              <v:fill on="f" focussize="0,0"/>
              <v:stroke on="f" weight="0.5pt"/>
              <v:imagedata o:title=""/>
              <o:lock v:ext="edit" aspectratio="f"/>
              <v:textbox>
                <w:txbxContent>
                  <w:p>
                    <w:pPr>
                      <w:snapToGrid w:val="0"/>
                    </w:pPr>
                    <w:r>
                      <w:rPr>
                        <w:rFonts w:hint="eastAsia" w:asciiTheme="minorEastAsia" w:hAnsiTheme="minorEastAsia" w:cstheme="minorEastAsia"/>
                        <w:sz w:val="32"/>
                        <w:szCs w:val="32"/>
                      </w:rPr>
                      <w:t>安徽省医疗保障局规范性文件</w:t>
                    </w:r>
                  </w:p>
                </w:txbxContent>
              </v:textbox>
            </v:shape>
          </w:pict>
        </mc:Fallback>
      </mc:AlternateContent>
    </w:r>
  </w:p>
  <w:p>
    <w:pPr>
      <w:pStyle w:val="5"/>
    </w:pPr>
    <w:r>
      <w:rPr>
        <w:rFonts w:hint="eastAsia"/>
      </w:rPr>
      <w:drawing>
        <wp:inline distT="0" distB="0" distL="114300" distR="114300">
          <wp:extent cx="262890" cy="275590"/>
          <wp:effectExtent l="0" t="0" r="3810" b="10160"/>
          <wp:docPr id="1" name="图片 1" descr="454cddb6cf4d3c81a29bba35775f7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54cddb6cf4d3c81a29bba35775f7cb"/>
                  <pic:cNvPicPr>
                    <a:picLocks noChangeAspect="1"/>
                  </pic:cNvPicPr>
                </pic:nvPicPr>
                <pic:blipFill>
                  <a:blip r:embed="rId1"/>
                  <a:srcRect l="9101" t="7972" r="11852" b="9101"/>
                  <a:stretch>
                    <a:fillRect/>
                  </a:stretch>
                </pic:blipFill>
                <pic:spPr>
                  <a:xfrm>
                    <a:off x="0" y="0"/>
                    <a:ext cx="262890" cy="275590"/>
                  </a:xfrm>
                  <a:prstGeom prst="rect">
                    <a:avLst/>
                  </a:prstGeom>
                </pic:spPr>
              </pic:pic>
            </a:graphicData>
          </a:graphic>
        </wp:inline>
      </w:drawing>
    </w:r>
  </w:p>
  <w:p>
    <w:pPr>
      <w:pStyle w:val="5"/>
      <w:spacing w:line="100" w:lineRule="exact"/>
    </w:pPr>
  </w:p>
  <w:tbl>
    <w:tblPr>
      <w:tblStyle w:val="7"/>
      <w:tblW w:w="8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 w:hRule="exact"/>
        <w:jc w:val="center"/>
      </w:trPr>
      <w:tc>
        <w:tcPr>
          <w:tcW w:w="8957" w:type="dxa"/>
          <w:tcBorders>
            <w:tl2br w:val="nil"/>
            <w:tr2bl w:val="nil"/>
          </w:tcBorders>
          <w:shd w:val="clear" w:color="auto" w:fill="000000" w:themeFill="text1"/>
        </w:tcPr>
        <w:p>
          <w:pPr>
            <w:pStyle w:val="5"/>
            <w:pBdr>
              <w:top w:val="none" w:color="auto" w:sz="0" w:space="0"/>
              <w:left w:val="none" w:color="auto" w:sz="0" w:space="0"/>
              <w:bottom w:val="none" w:color="auto" w:sz="0" w:space="0"/>
              <w:right w:val="none" w:color="auto" w:sz="0" w:space="0"/>
            </w:pBdr>
          </w:pPr>
        </w:p>
      </w:tc>
    </w:tr>
  </w:tbl>
  <w:p>
    <w:pPr>
      <w:pStyle w:val="5"/>
      <w:spacing w:line="2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spacing w:before="168" w:beforeLines="70"/>
      <w:rPr>
        <w:sz w:val="18"/>
      </w:rPr>
    </w:pPr>
    <w:r>
      <w:rPr>
        <w:sz w:val="18"/>
      </w:rPr>
      <mc:AlternateContent>
        <mc:Choice Requires="wps">
          <w:drawing>
            <wp:anchor distT="0" distB="0" distL="114300" distR="114300" simplePos="0" relativeHeight="251660288" behindDoc="0" locked="0" layoutInCell="1" allowOverlap="1">
              <wp:simplePos x="0" y="0"/>
              <wp:positionH relativeFrom="column">
                <wp:posOffset>194945</wp:posOffset>
              </wp:positionH>
              <wp:positionV relativeFrom="paragraph">
                <wp:posOffset>224155</wp:posOffset>
              </wp:positionV>
              <wp:extent cx="3000375" cy="320040"/>
              <wp:effectExtent l="0" t="0" r="0" b="0"/>
              <wp:wrapNone/>
              <wp:docPr id="3" name="文本框 3"/>
              <wp:cNvGraphicFramePr/>
              <a:graphic xmlns:a="http://schemas.openxmlformats.org/drawingml/2006/main">
                <a:graphicData uri="http://schemas.microsoft.com/office/word/2010/wordprocessingShape">
                  <wps:wsp>
                    <wps:cNvSpPr txBox="1"/>
                    <wps:spPr>
                      <a:xfrm>
                        <a:off x="1283335" y="746760"/>
                        <a:ext cx="3000375" cy="320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pPr>
                          <w:r>
                            <w:rPr>
                              <w:rFonts w:hint="eastAsia" w:asciiTheme="minorEastAsia" w:hAnsiTheme="minorEastAsia" w:cstheme="minorEastAsia"/>
                              <w:sz w:val="32"/>
                              <w:szCs w:val="32"/>
                            </w:rPr>
                            <w:t>安徽省医疗保障局规范性文件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35pt;margin-top:17.65pt;height:25.2pt;width:236.25pt;z-index:251660288;mso-width-relative:page;mso-height-relative:page;" filled="f" stroked="f" coordsize="21600,21600" o:gfxdata="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aIPvd9oAAAAIAQAADwAA&#10;AAAAAAABACAAAAAiAAAAZHJzL2Rvd25yZXYueG1sUEsBAhQAFAAAAAgAh07iQJ7phYxNAgAAfwQA&#10;AA4AAAAAAAAAAQAgAAAAKQEAAGRycy9lMm9Eb2MueG1sUEsFBgAAAAAGAAYAWQEAAOgFAAAAAA==&#10;">
              <v:fill on="f" focussize="0,0"/>
              <v:stroke on="f" weight="0.5pt"/>
              <v:imagedata o:title=""/>
              <o:lock v:ext="edit" aspectratio="f"/>
              <v:textbox>
                <w:txbxContent>
                  <w:p>
                    <w:pPr>
                      <w:snapToGrid w:val="0"/>
                    </w:pPr>
                    <w:r>
                      <w:rPr>
                        <w:rFonts w:hint="eastAsia" w:asciiTheme="minorEastAsia" w:hAnsiTheme="minorEastAsia" w:cstheme="minorEastAsia"/>
                        <w:sz w:val="32"/>
                        <w:szCs w:val="32"/>
                      </w:rPr>
                      <w:t>安徽省医疗保障局规范性文件</w:t>
                    </w:r>
                  </w:p>
                </w:txbxContent>
              </v:textbox>
            </v:shape>
          </w:pict>
        </mc:Fallback>
      </mc:AlternateContent>
    </w:r>
  </w:p>
  <w:p>
    <w:pPr>
      <w:pBdr>
        <w:top w:val="none" w:color="auto" w:sz="0" w:space="1"/>
        <w:left w:val="none" w:color="auto" w:sz="0" w:space="4"/>
        <w:bottom w:val="none" w:color="auto" w:sz="0" w:space="1"/>
        <w:right w:val="none" w:color="auto" w:sz="0" w:space="4"/>
      </w:pBdr>
      <w:snapToGrid w:val="0"/>
      <w:rPr>
        <w:sz w:val="18"/>
      </w:rPr>
    </w:pPr>
    <w:r>
      <w:rPr>
        <w:rFonts w:hint="eastAsia"/>
        <w:sz w:val="18"/>
      </w:rPr>
      <w:drawing>
        <wp:inline distT="0" distB="0" distL="114300" distR="114300">
          <wp:extent cx="262890" cy="275590"/>
          <wp:effectExtent l="0" t="0" r="3810" b="10160"/>
          <wp:docPr id="4" name="图片 4" descr="454cddb6cf4d3c81a29bba35775f7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54cddb6cf4d3c81a29bba35775f7cb"/>
                  <pic:cNvPicPr>
                    <a:picLocks noChangeAspect="1"/>
                  </pic:cNvPicPr>
                </pic:nvPicPr>
                <pic:blipFill>
                  <a:blip r:embed="rId1"/>
                  <a:srcRect l="9101" t="7972" r="11852" b="9101"/>
                  <a:stretch>
                    <a:fillRect/>
                  </a:stretch>
                </pic:blipFill>
                <pic:spPr>
                  <a:xfrm>
                    <a:off x="0" y="0"/>
                    <a:ext cx="262890" cy="275590"/>
                  </a:xfrm>
                  <a:prstGeom prst="rect">
                    <a:avLst/>
                  </a:prstGeom>
                </pic:spPr>
              </pic:pic>
            </a:graphicData>
          </a:graphic>
        </wp:inline>
      </w:drawing>
    </w:r>
  </w:p>
  <w:p>
    <w:pPr>
      <w:pBdr>
        <w:top w:val="none" w:color="auto" w:sz="0" w:space="1"/>
        <w:left w:val="none" w:color="auto" w:sz="0" w:space="4"/>
        <w:bottom w:val="none" w:color="auto" w:sz="0" w:space="1"/>
        <w:right w:val="none" w:color="auto" w:sz="0" w:space="4"/>
      </w:pBdr>
      <w:snapToGrid w:val="0"/>
      <w:spacing w:line="100" w:lineRule="exact"/>
      <w:rPr>
        <w:sz w:val="18"/>
      </w:rPr>
    </w:pPr>
  </w:p>
  <w:tbl>
    <w:tblPr>
      <w:tblStyle w:val="7"/>
      <w:tblW w:w="8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 w:hRule="exact"/>
        <w:jc w:val="center"/>
      </w:trPr>
      <w:tc>
        <w:tcPr>
          <w:tcW w:w="8957" w:type="dxa"/>
          <w:tcBorders>
            <w:tl2br w:val="nil"/>
            <w:tr2bl w:val="nil"/>
          </w:tcBorders>
          <w:shd w:val="clear" w:color="auto" w:fill="000000" w:themeFill="text1"/>
        </w:tcPr>
        <w:p>
          <w:pPr>
            <w:snapToGrid w:val="0"/>
            <w:rPr>
              <w:sz w:val="18"/>
            </w:rPr>
          </w:pPr>
        </w:p>
      </w:tc>
    </w:tr>
  </w:tbl>
  <w:p>
    <w:pPr>
      <w:pBdr>
        <w:top w:val="none" w:color="auto" w:sz="0" w:space="1"/>
        <w:left w:val="none" w:color="auto" w:sz="0" w:space="4"/>
        <w:bottom w:val="none" w:color="auto" w:sz="0" w:space="1"/>
        <w:right w:val="none" w:color="auto" w:sz="0" w:space="4"/>
      </w:pBdr>
      <w:snapToGrid w:val="0"/>
      <w:spacing w:line="20" w:lineRule="exact"/>
      <w:rPr>
        <w:sz w:val="18"/>
      </w:rPr>
    </w:pPr>
  </w:p>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evenAndOddHeaders w:val="1"/>
  <w:drawingGridVerticalSpacing w:val="304"/>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3YzVlOTY2ZWQ0Y2MwYmYyMDljZjU3MGU0M2YwYmEifQ=="/>
  </w:docVars>
  <w:rsids>
    <w:rsidRoot w:val="055941A4"/>
    <w:rsid w:val="004C12BB"/>
    <w:rsid w:val="00552498"/>
    <w:rsid w:val="005C58D0"/>
    <w:rsid w:val="055941A4"/>
    <w:rsid w:val="1A8B6E80"/>
    <w:rsid w:val="4B9004B5"/>
    <w:rsid w:val="67152B17"/>
    <w:rsid w:val="73CD15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简体" w:cs="方正仿宋简体"/>
      <w:kern w:val="2"/>
      <w:sz w:val="32"/>
      <w:szCs w:val="32"/>
      <w:lang w:val="en-US" w:eastAsia="zh-CN" w:bidi="ar-SA"/>
    </w:rPr>
  </w:style>
  <w:style w:type="paragraph" w:styleId="2">
    <w:name w:val="heading 2"/>
    <w:next w:val="1"/>
    <w:unhideWhenUsed/>
    <w:qFormat/>
    <w:uiPriority w:val="9"/>
    <w:pPr>
      <w:widowControl w:val="0"/>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9"/>
    <w:uiPriority w:val="0"/>
    <w:rPr>
      <w:sz w:val="18"/>
      <w:szCs w:val="18"/>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批注框文本 Char"/>
    <w:basedOn w:val="8"/>
    <w:link w:val="3"/>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省医保局</Company>
  <Pages>4</Pages>
  <Words>4</Words>
  <Characters>28</Characters>
  <Lines>1</Lines>
  <Paragraphs>1</Paragraphs>
  <TotalTime>3</TotalTime>
  <ScaleCrop>false</ScaleCrop>
  <LinksUpToDate>false</LinksUpToDate>
  <CharactersWithSpaces>31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2022-11-22T01:59:00Z</dcterms:created>
  <dc:creator>ntko</dc:creator>
  <cp:lastModifiedBy>邹婷婷</cp:lastModifiedBy>
  <dcterms:modified xsi:type="dcterms:W3CDTF">2024-12-23T07:12:38Z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65A77CEC65DC483AAD79AA1EF60A545F_12</vt:lpwstr>
  </property>
</Properties>
</file>