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ascii="方正小标宋简体" w:hAnsi="方正小标宋简体" w:eastAsia="方正小标宋简体" w:cs="方正小标宋简体"/>
          <w:color w:val="000000" w:themeColor="text1"/>
          <w:sz w:val="44"/>
          <w:szCs w:val="44"/>
        </w:rPr>
      </w:pPr>
      <w:bookmarkStart w:id="0" w:name="_GoBack"/>
      <w:bookmarkEnd w:id="0"/>
      <w:r>
        <w:rPr>
          <w:rFonts w:hint="eastAsia" w:ascii="方正小标宋简体" w:hAnsi="方正小标宋简体" w:eastAsia="方正小标宋简体" w:cs="方正小标宋简体"/>
          <w:color w:val="000000" w:themeColor="text1"/>
          <w:sz w:val="44"/>
          <w:szCs w:val="44"/>
        </w:rPr>
        <w:t>池州市基层医疗机构适宜日间病床收治</w:t>
      </w:r>
    </w:p>
    <w:p>
      <w:pPr>
        <w:spacing w:line="64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疾病按病种付费工作实施方案</w:t>
      </w:r>
    </w:p>
    <w:p>
      <w:pPr>
        <w:spacing w:line="64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（征求意见稿）</w:t>
      </w:r>
    </w:p>
    <w:p>
      <w:pPr>
        <w:spacing w:line="560" w:lineRule="exact"/>
        <w:ind w:firstLine="640" w:firstLineChars="200"/>
        <w:rPr>
          <w:rFonts w:ascii="仿宋_GB2312" w:hAnsi="仿宋_GB2312" w:eastAsia="仿宋_GB2312" w:cs="仿宋_GB2312"/>
          <w:color w:val="000000" w:themeColor="text1"/>
          <w:sz w:val="32"/>
          <w:szCs w:val="32"/>
        </w:rPr>
      </w:pP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为支持基层医疗机构发展以及中医优势病种和适宜技术的应用，推进基层医疗机构提质增效，促进分级诊疗格局形成，根据《安徽省医疗保障局 安徽省卫生健康委员会关于进一步规范基层医疗机构适宜日间病床收治住院病种按病种付费试点工作的通知》（皖医保秘〔2021〕93号）、《安徽省医疗保障局安徽省卫生健康委员会关于扩大基层医疗机构适宜日间病床收治疾病按病种付费试点范围的通知》（皖医保秘〔2022〕86号）等文件精神，在前期试点基础上，经研究，在全市范围内开展基层医疗机构适宜日间病床收治疾病按病种付费工作，制定如下实施方案。</w:t>
      </w:r>
    </w:p>
    <w:p>
      <w:pPr>
        <w:spacing w:line="56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一、总体要求</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基层医疗机构适宜日间病床收治疾病是指患者在基层医疗机构就诊时，所患疾病达到普通住院标准且临床认为可以夜间不留院观察治疗的病种。卫生健康部门负责拟定适宜日间病床收治疾病病种临床诊疗规范，指导基层医疗机构合理设置日间病床、合理收治、合理治疗，控制医药费用不合理增长。医疗保障部门负责针对此类病种开展按病种付费等支付方式改革，加大医保基金监督力度，引导基层医疗机构规范医疗服务行为。</w:t>
      </w:r>
    </w:p>
    <w:p>
      <w:pPr>
        <w:spacing w:line="56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二、实施范围</w:t>
      </w:r>
    </w:p>
    <w:p>
      <w:pPr>
        <w:spacing w:line="560" w:lineRule="exact"/>
        <w:ind w:firstLine="642"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（一）医疗机构范围</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具有住院资质的医保定点基层医疗机构（乡镇卫生院或社区卫生服务中心）可向属地医保和卫健部门申请开展日间病床收治疾病按病种付费。</w:t>
      </w:r>
    </w:p>
    <w:p>
      <w:pPr>
        <w:spacing w:line="560" w:lineRule="exact"/>
        <w:ind w:firstLine="642"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（二）病种范围</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在安徽省基层医疗机构日间病床按病种付费备选病种中选择5个中医病种，5个西医病种开展按病种付费。</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中医病种分别为：腰痛病（腰椎间盘突出）、项痹病（颈椎病神经根型）、面瘫病（面神经麻痹）、肩凝症（肩周炎）、头痛（偏头痛）。</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西医病种分别为：支气管肺炎、女性盆腔炎、急性肠胃炎、泌尿道感染、短暂性脑缺血发作。</w:t>
      </w:r>
    </w:p>
    <w:p>
      <w:pPr>
        <w:spacing w:line="56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三、付费管理</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（一）病种定额标准。</w:t>
      </w:r>
      <w:r>
        <w:rPr>
          <w:rFonts w:hint="eastAsia" w:ascii="仿宋_GB2312" w:hAnsi="仿宋_GB2312" w:eastAsia="仿宋_GB2312" w:cs="仿宋_GB2312"/>
          <w:color w:val="000000" w:themeColor="text1"/>
          <w:sz w:val="32"/>
          <w:szCs w:val="32"/>
        </w:rPr>
        <w:t>根据医保基金运行情况和基层医疗机构实际医疗费用水平，统筹确定病种定额标准，病种定额包含患者在按日间病床收治过程中发生的所有医疗费用。病种定额标准可根据医疗费用变化情况按规定进行动态调整。</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（二）医保报销规定。</w:t>
      </w:r>
      <w:r>
        <w:rPr>
          <w:rFonts w:hint="eastAsia" w:ascii="仿宋_GB2312" w:hAnsi="仿宋_GB2312" w:eastAsia="仿宋_GB2312" w:cs="仿宋_GB2312"/>
          <w:color w:val="000000" w:themeColor="text1"/>
          <w:sz w:val="32"/>
          <w:szCs w:val="32"/>
        </w:rPr>
        <w:t>日间病床收治住院病种按病种付费不设起付线。医保基金按病种定额和支付比例与医疗机构结算，一级及一下医疗机构医保基金支付比例职工医保为75%、居民医保为70%，患者个人按实际发生医疗费用和个人付费比例支付，职工付费比例为25%，居民付费比例为30%；二级医疗机构医保基金支付比例职工医保为70%、居民医保为65%，患者个人按实际发生医疗费用和个人付费比例支付，职工付费比例为30%，居民付费比例为35%。</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实际医疗费用超过病种定额标准的由医疗机构自行承担；低于病种定额标准的，结余部分医疗机构留用。</w:t>
      </w:r>
    </w:p>
    <w:p>
      <w:pPr>
        <w:spacing w:line="560" w:lineRule="exact"/>
        <w:ind w:firstLine="642"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（三）不予报销范围</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各地区要严格执行国家医保待遇清单，基层医疗机构日间病床按病种付费的病种治疗费用（包括药品、耗材、医药服务项目等）必须全部在医保目录范围内。其他不符合医保目录产生的费用全部由医院承担。</w:t>
      </w:r>
    </w:p>
    <w:p>
      <w:pPr>
        <w:spacing w:line="560" w:lineRule="exact"/>
        <w:ind w:firstLine="642"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（四）其他规定</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1.患者在一次诊疗过程中，同时实施两个以上病种诊疗的，按定额最高病种结算。合并病种之外的疾病，按规定合理诊治及收费。</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2.患者在统筹区内同一医疗机构一年度内，同一病种享受日间病床按病种付费政策原则上不超过4次。</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治疗天数未达到临床诊疗规范（路径）规定天数的70%或当次诊疗医药费用未达到定额标准70%的，退出日间病床按病种付费，按门诊政策执行。患者病情加重，需要转科转院住院治疗的，应由主治医生提出申请，医院负责人签字确认，方可退出日间病床按病种付费，按照普通住院医保政策报销。</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4.日间病床按病种付费中医保基金支付的定额计入患者当年医保封顶线基数，纳入医疗机构总额预算和县域医共体打包付费总额内。</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5.日间病床按病种付费仅在统筹区试行，异地就医暂不实行。</w:t>
      </w:r>
    </w:p>
    <w:p>
      <w:pPr>
        <w:spacing w:line="56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四、规范管理</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（一）计费管理。</w:t>
      </w:r>
      <w:r>
        <w:rPr>
          <w:rFonts w:hint="eastAsia" w:ascii="仿宋_GB2312" w:hAnsi="仿宋_GB2312" w:eastAsia="仿宋_GB2312" w:cs="仿宋_GB2312"/>
          <w:color w:val="000000" w:themeColor="text1"/>
          <w:sz w:val="32"/>
          <w:szCs w:val="32"/>
        </w:rPr>
        <w:t>日间病床按病种付费按照住院收费管理，相关费用信息全部纳入医保基金报表“住院”统计范畴。诊疗期间患者的床位费、护理费减半计算，诊察费、检查化验费、药费等全额计算。</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（二）病区管理。</w:t>
      </w:r>
      <w:r>
        <w:rPr>
          <w:rFonts w:hint="eastAsia" w:ascii="仿宋_GB2312" w:hAnsi="仿宋_GB2312" w:eastAsia="仿宋_GB2312" w:cs="仿宋_GB2312"/>
          <w:color w:val="000000" w:themeColor="text1"/>
          <w:sz w:val="32"/>
          <w:szCs w:val="32"/>
        </w:rPr>
        <w:t>享受日间病床按病种付费结算的病人参照住院管理。基层医疗机构应单独设立日间病床按病种付费病床病区，与患者签署病情告知书，得到患者及家属的信任配合。严格执行患者每日签字确认制度，确保诊疗记录与实际收费相符。</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（三）诊疗管理。</w:t>
      </w:r>
      <w:r>
        <w:rPr>
          <w:rFonts w:hint="eastAsia" w:ascii="仿宋_GB2312" w:hAnsi="仿宋_GB2312" w:eastAsia="仿宋_GB2312" w:cs="仿宋_GB2312"/>
          <w:color w:val="000000" w:themeColor="text1"/>
          <w:sz w:val="32"/>
          <w:szCs w:val="32"/>
        </w:rPr>
        <w:t>基层医疗机构要严格按照诊疗规范，未按照规定临床路径表单进行治疗的，不执行日间病床按病种付费。临床路径表单由市卫健部门制定。基层医疗机构应规范日间病床按病种付费病人的病历书写，包括病案首页、入院记录、病程记录（医嘱变更或病情变化）、临床路径表单、出院小结等。基层医疗机构收治日间病床按病种付费人数不得超过实际床位数的50%；不得有欺诈骗保行为；不得降低服务标准，让未愈病人提前离院；不得将普通门诊结算病人转化为日间病床按病种付费结算；不得将属于日间病床按病种付费范围内的诊疗费用转为门诊收费或让患者外购药品变相增加患者负担。</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（四）监督管理。</w:t>
      </w:r>
      <w:r>
        <w:rPr>
          <w:rFonts w:hint="eastAsia" w:ascii="仿宋_GB2312" w:hAnsi="仿宋_GB2312" w:eastAsia="仿宋_GB2312" w:cs="仿宋_GB2312"/>
          <w:color w:val="000000" w:themeColor="text1"/>
          <w:sz w:val="32"/>
          <w:szCs w:val="32"/>
        </w:rPr>
        <w:t>愿意开展日间病床按病种付费的基层医疗机构应主动向属地医保经办机构提出申请，明确开展的病种，各级医保经办机构要与执行日间病床按病种付费的基层医疗机构签订补充协议。各级医保部门要加强医保智能审核、智能监控等信息化监管手段，结合现场检查、病历审核实施综合监督，防范日间病床按病种付费滥用乱用。发现违规行为，按《医疗保障基金使用监督管理条例》和医保协议等相关规定予以严肃处理。</w:t>
      </w:r>
    </w:p>
    <w:p>
      <w:pPr>
        <w:spacing w:line="56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五、工作要求</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（一）加强宣传培训。</w:t>
      </w:r>
      <w:r>
        <w:rPr>
          <w:rFonts w:hint="eastAsia" w:ascii="仿宋_GB2312" w:hAnsi="仿宋_GB2312" w:eastAsia="仿宋_GB2312" w:cs="仿宋_GB2312"/>
          <w:color w:val="000000" w:themeColor="text1"/>
          <w:sz w:val="32"/>
          <w:szCs w:val="32"/>
        </w:rPr>
        <w:t>各县（区）医保、卫健部门，基层医疗机构要加强日间病床医保结算政策宣传，引导参保患者合理就医。各级医保经办机构要加强对基层医疗机构工作的指导。基层医疗机构要加强相关人员政策培训，并对日间病床医保结算病种、定额标准、参保患者付费比例等信息进行公示，确保试点工作规范实施。</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（二）完善信息系统。</w:t>
      </w:r>
      <w:r>
        <w:rPr>
          <w:rFonts w:hint="eastAsia" w:ascii="仿宋_GB2312" w:hAnsi="仿宋_GB2312" w:eastAsia="仿宋_GB2312" w:cs="仿宋_GB2312"/>
          <w:color w:val="000000" w:themeColor="text1"/>
          <w:sz w:val="32"/>
          <w:szCs w:val="32"/>
        </w:rPr>
        <w:t>县、区医保经办机构要及时维护医保信息系统，增加“日间病床”医保结算类型，维护“日间病床”医保算法。各基层医疗机构要升级医院信息系统，完善与医保信息系统接口功能，准确上传医保结算等相关数据，确保试点工作正常开展。</w:t>
      </w:r>
    </w:p>
    <w:p>
      <w:pPr>
        <w:spacing w:line="560" w:lineRule="exact"/>
        <w:ind w:firstLine="642"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（三）加强监测分析。</w:t>
      </w:r>
      <w:r>
        <w:rPr>
          <w:rFonts w:hint="eastAsia" w:ascii="仿宋_GB2312" w:hAnsi="仿宋_GB2312" w:eastAsia="仿宋_GB2312" w:cs="仿宋_GB2312"/>
          <w:color w:val="000000" w:themeColor="text1"/>
          <w:sz w:val="32"/>
          <w:szCs w:val="32"/>
        </w:rPr>
        <w:t>各级医保部门要建立分析测算制度，定期对比分析日间病床按病种付费实施情况，对基层医疗机构试点前后日间病床付费与普通住院付费病例数、均次费用、治疗天数、患者自付费用占比以及普通门诊人次变化情况等进行综合分析，及时总结发现问题。</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本方案自2024年 1月1日起执行，政策执行中遇到问题，应及时向市医保局、市卫健委报告。</w:t>
      </w:r>
    </w:p>
    <w:p>
      <w:pPr>
        <w:spacing w:line="560" w:lineRule="exact"/>
        <w:rPr>
          <w:rFonts w:ascii="仿宋_GB2312" w:hAnsi="仿宋_GB2312" w:eastAsia="仿宋_GB2312" w:cs="仿宋_GB2312"/>
          <w:color w:val="000000" w:themeColor="text1"/>
          <w:sz w:val="32"/>
          <w:szCs w:val="32"/>
        </w:rPr>
      </w:pPr>
    </w:p>
    <w:p>
      <w:pPr>
        <w:spacing w:line="560" w:lineRule="exac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附件：1.适宜日间病床收治病种及支付标准（中医）</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2.适宜日间病床收治病种及支付标准（西医）</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3.日间治疗病种退出申请审批表</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4.日间病床按病种付费知情告知书</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5.日间病床按病种付费治疗每日确认表</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6.日间病床按病种付费病种临床路径表单（中医）</w:t>
      </w:r>
    </w:p>
    <w:p>
      <w:pPr>
        <w:spacing w:line="560" w:lineRule="exact"/>
        <w:ind w:firstLine="960" w:firstLineChars="3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7.日间病床按病种付费病种临床路径表单（西医）</w:t>
      </w:r>
    </w:p>
    <w:p>
      <w:pPr>
        <w:spacing w:line="560" w:lineRule="exact"/>
        <w:ind w:firstLine="640" w:firstLineChars="200"/>
        <w:rPr>
          <w:rFonts w:ascii="仿宋_GB2312" w:hAnsi="仿宋_GB2312" w:eastAsia="仿宋_GB2312" w:cs="仿宋_GB2312"/>
          <w:color w:val="000000" w:themeColor="text1"/>
          <w:sz w:val="32"/>
          <w:szCs w:val="32"/>
        </w:rPr>
        <w:sectPr>
          <w:footerReference r:id="rId3" w:type="default"/>
          <w:pgSz w:w="11850" w:h="16838"/>
          <w:pgMar w:top="1984" w:right="1587" w:bottom="1984" w:left="1587" w:header="851" w:footer="992" w:gutter="0"/>
          <w:pgNumType w:fmt="numberInDash" w:start="1"/>
          <w:cols w:space="0" w:num="1"/>
          <w:docGrid w:type="lines" w:linePitch="313" w:charSpace="0"/>
        </w:sectPr>
      </w:pP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附件1</w:t>
      </w:r>
    </w:p>
    <w:p>
      <w:pPr>
        <w:spacing w:line="56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适宜日间病床收治病种及支付标准（中医）</w:t>
      </w:r>
    </w:p>
    <w:tbl>
      <w:tblPr>
        <w:tblStyle w:val="11"/>
        <w:tblW w:w="153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854"/>
        <w:gridCol w:w="1695"/>
        <w:gridCol w:w="4043"/>
        <w:gridCol w:w="1440"/>
        <w:gridCol w:w="636"/>
        <w:gridCol w:w="901"/>
        <w:gridCol w:w="783"/>
        <w:gridCol w:w="687"/>
        <w:gridCol w:w="795"/>
        <w:gridCol w:w="750"/>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41"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序号</w:t>
            </w:r>
          </w:p>
        </w:tc>
        <w:tc>
          <w:tcPr>
            <w:tcW w:w="1854"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病种名称</w:t>
            </w:r>
          </w:p>
        </w:tc>
        <w:tc>
          <w:tcPr>
            <w:tcW w:w="1695"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关键诊疗技术</w:t>
            </w:r>
          </w:p>
        </w:tc>
        <w:tc>
          <w:tcPr>
            <w:tcW w:w="4043"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ICD-10医保版本病种名称</w:t>
            </w:r>
          </w:p>
        </w:tc>
        <w:tc>
          <w:tcPr>
            <w:tcW w:w="1440"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ICD-10</w:t>
            </w:r>
          </w:p>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医保版</w:t>
            </w:r>
          </w:p>
        </w:tc>
        <w:tc>
          <w:tcPr>
            <w:tcW w:w="2320" w:type="dxa"/>
            <w:gridSpan w:val="3"/>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一级及以下医疗机构</w:t>
            </w:r>
          </w:p>
        </w:tc>
        <w:tc>
          <w:tcPr>
            <w:tcW w:w="2232" w:type="dxa"/>
            <w:gridSpan w:val="3"/>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二级医疗机构</w:t>
            </w:r>
          </w:p>
        </w:tc>
        <w:tc>
          <w:tcPr>
            <w:tcW w:w="10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治疗</w:t>
            </w:r>
          </w:p>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440"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636" w:type="dxa"/>
            <w:vMerge w:val="restart"/>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w:t>
            </w:r>
          </w:p>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定额</w:t>
            </w:r>
          </w:p>
        </w:tc>
        <w:tc>
          <w:tcPr>
            <w:tcW w:w="1684" w:type="dxa"/>
            <w:gridSpan w:val="2"/>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支付比例</w:t>
            </w:r>
          </w:p>
        </w:tc>
        <w:tc>
          <w:tcPr>
            <w:tcW w:w="687" w:type="dxa"/>
            <w:vMerge w:val="restart"/>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支付定额</w:t>
            </w:r>
          </w:p>
        </w:tc>
        <w:tc>
          <w:tcPr>
            <w:tcW w:w="1545" w:type="dxa"/>
            <w:gridSpan w:val="2"/>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支付比例</w:t>
            </w:r>
          </w:p>
        </w:tc>
        <w:tc>
          <w:tcPr>
            <w:tcW w:w="1050" w:type="dxa"/>
            <w:vMerge w:val="continue"/>
            <w:vAlign w:val="center"/>
          </w:tcPr>
          <w:p>
            <w:pPr>
              <w:spacing w:line="560" w:lineRule="exact"/>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440"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636"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901" w:type="dxa"/>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职工</w:t>
            </w:r>
          </w:p>
        </w:tc>
        <w:tc>
          <w:tcPr>
            <w:tcW w:w="783" w:type="dxa"/>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居民</w:t>
            </w:r>
          </w:p>
        </w:tc>
        <w:tc>
          <w:tcPr>
            <w:tcW w:w="687" w:type="dxa"/>
            <w:vMerge w:val="continue"/>
            <w:vAlign w:val="center"/>
          </w:tcPr>
          <w:p>
            <w:pPr>
              <w:spacing w:line="400" w:lineRule="exact"/>
              <w:jc w:val="center"/>
              <w:rPr>
                <w:rFonts w:ascii="仿宋_GB2312" w:hAnsi="仿宋_GB2312" w:eastAsia="仿宋_GB2312" w:cs="仿宋_GB2312"/>
                <w:color w:val="000000" w:themeColor="text1"/>
                <w:szCs w:val="21"/>
              </w:rPr>
            </w:pPr>
          </w:p>
        </w:tc>
        <w:tc>
          <w:tcPr>
            <w:tcW w:w="795" w:type="dxa"/>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职工</w:t>
            </w:r>
          </w:p>
        </w:tc>
        <w:tc>
          <w:tcPr>
            <w:tcW w:w="750" w:type="dxa"/>
            <w:vAlign w:val="center"/>
          </w:tcPr>
          <w:p>
            <w:pPr>
              <w:spacing w:line="4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居民</w:t>
            </w:r>
          </w:p>
        </w:tc>
        <w:tc>
          <w:tcPr>
            <w:tcW w:w="1050" w:type="dxa"/>
            <w:vMerge w:val="continue"/>
            <w:vAlign w:val="center"/>
          </w:tcPr>
          <w:p>
            <w:pPr>
              <w:spacing w:line="560" w:lineRule="exact"/>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1</w:t>
            </w:r>
          </w:p>
        </w:tc>
        <w:tc>
          <w:tcPr>
            <w:tcW w:w="1854"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腰痛病</w:t>
            </w:r>
            <w:r>
              <w:rPr>
                <w:rFonts w:hint="eastAsia" w:ascii="仿宋_GB2312" w:hAnsi="仿宋_GB2312" w:eastAsia="仿宋_GB2312" w:cs="仿宋_GB2312"/>
                <w:color w:val="000000" w:themeColor="text1"/>
                <w:kern w:val="0"/>
                <w:szCs w:val="21"/>
              </w:rPr>
              <w:br w:type="textWrapping"/>
            </w:r>
            <w:r>
              <w:rPr>
                <w:rFonts w:hint="eastAsia" w:ascii="仿宋_GB2312" w:hAnsi="仿宋_GB2312" w:eastAsia="仿宋_GB2312" w:cs="仿宋_GB2312"/>
                <w:color w:val="000000" w:themeColor="text1"/>
                <w:kern w:val="0"/>
                <w:szCs w:val="21"/>
              </w:rPr>
              <w:t>（腰椎间盘突出）</w:t>
            </w:r>
          </w:p>
        </w:tc>
        <w:tc>
          <w:tcPr>
            <w:tcW w:w="1695"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中医药适宜技术</w:t>
            </w: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腰痛病（腰椎间盘突出）</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M51.202</w:t>
            </w:r>
          </w:p>
        </w:tc>
        <w:tc>
          <w:tcPr>
            <w:tcW w:w="63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1100</w:t>
            </w:r>
          </w:p>
        </w:tc>
        <w:tc>
          <w:tcPr>
            <w:tcW w:w="901"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783"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687"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1200</w:t>
            </w:r>
          </w:p>
        </w:tc>
        <w:tc>
          <w:tcPr>
            <w:tcW w:w="795"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7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65%</w:t>
            </w:r>
          </w:p>
        </w:tc>
        <w:tc>
          <w:tcPr>
            <w:tcW w:w="10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10-14天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腰痛病（第三腰椎横突综合征）</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M54.501</w:t>
            </w:r>
          </w:p>
        </w:tc>
        <w:tc>
          <w:tcPr>
            <w:tcW w:w="636"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901"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83"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687"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95"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50"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1050" w:type="dxa"/>
            <w:vMerge w:val="continue"/>
            <w:vAlign w:val="center"/>
          </w:tcPr>
          <w:p>
            <w:pPr>
              <w:spacing w:line="560" w:lineRule="exact"/>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1854"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项痹病（颈椎病神经根型）</w:t>
            </w:r>
          </w:p>
        </w:tc>
        <w:tc>
          <w:tcPr>
            <w:tcW w:w="1695"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中医药适宜技术</w:t>
            </w: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项痹病（颈椎病神经根型）</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M47.201</w:t>
            </w:r>
          </w:p>
        </w:tc>
        <w:tc>
          <w:tcPr>
            <w:tcW w:w="63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1"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783"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687"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1000</w:t>
            </w:r>
          </w:p>
        </w:tc>
        <w:tc>
          <w:tcPr>
            <w:tcW w:w="795"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7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65%</w:t>
            </w:r>
          </w:p>
        </w:tc>
        <w:tc>
          <w:tcPr>
            <w:tcW w:w="10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8-14天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项痹病（交感神经型颈椎病）</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M47.202</w:t>
            </w:r>
          </w:p>
        </w:tc>
        <w:tc>
          <w:tcPr>
            <w:tcW w:w="636"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901"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83"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687"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95"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50"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1050" w:type="dxa"/>
            <w:vMerge w:val="continue"/>
            <w:vAlign w:val="center"/>
          </w:tcPr>
          <w:p>
            <w:pPr>
              <w:spacing w:line="560" w:lineRule="exact"/>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3</w:t>
            </w:r>
          </w:p>
        </w:tc>
        <w:tc>
          <w:tcPr>
            <w:tcW w:w="1854"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面瘫病</w:t>
            </w:r>
            <w:r>
              <w:rPr>
                <w:rFonts w:hint="eastAsia" w:ascii="仿宋_GB2312" w:hAnsi="仿宋_GB2312" w:eastAsia="仿宋_GB2312" w:cs="仿宋_GB2312"/>
                <w:color w:val="000000" w:themeColor="text1"/>
                <w:kern w:val="0"/>
                <w:szCs w:val="21"/>
              </w:rPr>
              <w:br w:type="textWrapping"/>
            </w:r>
            <w:r>
              <w:rPr>
                <w:rFonts w:hint="eastAsia" w:ascii="仿宋_GB2312" w:hAnsi="仿宋_GB2312" w:eastAsia="仿宋_GB2312" w:cs="仿宋_GB2312"/>
                <w:color w:val="000000" w:themeColor="text1"/>
                <w:kern w:val="0"/>
                <w:szCs w:val="21"/>
              </w:rPr>
              <w:t>（面神经麻痹）</w:t>
            </w:r>
          </w:p>
        </w:tc>
        <w:tc>
          <w:tcPr>
            <w:tcW w:w="1695"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中医药适宜技术</w:t>
            </w: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面瘫病（中枢性面神经麻痹）</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G51.002</w:t>
            </w:r>
          </w:p>
        </w:tc>
        <w:tc>
          <w:tcPr>
            <w:tcW w:w="63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1"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783"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687"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1000</w:t>
            </w:r>
          </w:p>
        </w:tc>
        <w:tc>
          <w:tcPr>
            <w:tcW w:w="795"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7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65%</w:t>
            </w:r>
          </w:p>
        </w:tc>
        <w:tc>
          <w:tcPr>
            <w:tcW w:w="10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10-14天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面瘫病（周围性面神经麻痹）</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G51.003</w:t>
            </w:r>
          </w:p>
        </w:tc>
        <w:tc>
          <w:tcPr>
            <w:tcW w:w="636"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901"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83"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687"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95"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750"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1050" w:type="dxa"/>
            <w:vMerge w:val="continue"/>
            <w:vAlign w:val="center"/>
          </w:tcPr>
          <w:p>
            <w:pPr>
              <w:spacing w:line="560" w:lineRule="exact"/>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4</w:t>
            </w:r>
          </w:p>
        </w:tc>
        <w:tc>
          <w:tcPr>
            <w:tcW w:w="1854"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肩凝症（肩周炎）</w:t>
            </w:r>
          </w:p>
        </w:tc>
        <w:tc>
          <w:tcPr>
            <w:tcW w:w="1695"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中医药适宜技术</w:t>
            </w:r>
          </w:p>
        </w:tc>
        <w:tc>
          <w:tcPr>
            <w:tcW w:w="4043"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肩凝症（肩周炎）</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M75.001</w:t>
            </w:r>
          </w:p>
        </w:tc>
        <w:tc>
          <w:tcPr>
            <w:tcW w:w="63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1"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783"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1000</w:t>
            </w:r>
          </w:p>
        </w:tc>
        <w:tc>
          <w:tcPr>
            <w:tcW w:w="79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75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65%</w:t>
            </w:r>
          </w:p>
        </w:tc>
        <w:tc>
          <w:tcPr>
            <w:tcW w:w="105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6-10天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5</w:t>
            </w:r>
          </w:p>
        </w:tc>
        <w:tc>
          <w:tcPr>
            <w:tcW w:w="1854"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头痛（偏头痛）</w:t>
            </w:r>
          </w:p>
        </w:tc>
        <w:tc>
          <w:tcPr>
            <w:tcW w:w="1695" w:type="dxa"/>
            <w:vMerge w:val="restart"/>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中医药适宜技术</w:t>
            </w: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头痛病（偏头痛）</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G43.900</w:t>
            </w:r>
          </w:p>
        </w:tc>
        <w:tc>
          <w:tcPr>
            <w:tcW w:w="63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700</w:t>
            </w:r>
          </w:p>
        </w:tc>
        <w:tc>
          <w:tcPr>
            <w:tcW w:w="901"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783"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687"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800</w:t>
            </w:r>
          </w:p>
        </w:tc>
        <w:tc>
          <w:tcPr>
            <w:tcW w:w="795"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7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65%</w:t>
            </w:r>
          </w:p>
        </w:tc>
        <w:tc>
          <w:tcPr>
            <w:tcW w:w="105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4-8天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头痛病【偏头痛不伴有先兆（普通偏头痛）】</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G43.000</w:t>
            </w:r>
          </w:p>
        </w:tc>
        <w:tc>
          <w:tcPr>
            <w:tcW w:w="636" w:type="dxa"/>
            <w:vMerge w:val="continue"/>
            <w:vAlign w:val="center"/>
          </w:tcPr>
          <w:p>
            <w:pPr>
              <w:spacing w:line="560" w:lineRule="exact"/>
              <w:rPr>
                <w:rFonts w:ascii="仿宋_GB2312" w:hAnsi="仿宋_GB2312" w:eastAsia="仿宋_GB2312" w:cs="仿宋_GB2312"/>
                <w:color w:val="000000" w:themeColor="text1"/>
                <w:szCs w:val="21"/>
              </w:rPr>
            </w:pPr>
          </w:p>
        </w:tc>
        <w:tc>
          <w:tcPr>
            <w:tcW w:w="901" w:type="dxa"/>
            <w:vMerge w:val="continue"/>
            <w:vAlign w:val="center"/>
          </w:tcPr>
          <w:p>
            <w:pPr>
              <w:spacing w:line="560" w:lineRule="exact"/>
              <w:rPr>
                <w:rFonts w:ascii="仿宋_GB2312" w:hAnsi="仿宋_GB2312" w:eastAsia="仿宋_GB2312" w:cs="仿宋_GB2312"/>
                <w:color w:val="000000" w:themeColor="text1"/>
                <w:szCs w:val="21"/>
              </w:rPr>
            </w:pPr>
          </w:p>
        </w:tc>
        <w:tc>
          <w:tcPr>
            <w:tcW w:w="783" w:type="dxa"/>
            <w:vMerge w:val="continue"/>
            <w:vAlign w:val="center"/>
          </w:tcPr>
          <w:p>
            <w:pPr>
              <w:spacing w:line="560" w:lineRule="exact"/>
              <w:rPr>
                <w:rFonts w:ascii="仿宋_GB2312" w:hAnsi="仿宋_GB2312" w:eastAsia="仿宋_GB2312" w:cs="仿宋_GB2312"/>
                <w:color w:val="000000" w:themeColor="text1"/>
                <w:szCs w:val="21"/>
              </w:rPr>
            </w:pPr>
          </w:p>
        </w:tc>
        <w:tc>
          <w:tcPr>
            <w:tcW w:w="687" w:type="dxa"/>
            <w:vMerge w:val="continue"/>
            <w:vAlign w:val="center"/>
          </w:tcPr>
          <w:p>
            <w:pPr>
              <w:spacing w:line="560" w:lineRule="exact"/>
              <w:rPr>
                <w:rFonts w:ascii="仿宋_GB2312" w:hAnsi="仿宋_GB2312" w:eastAsia="仿宋_GB2312" w:cs="仿宋_GB2312"/>
                <w:color w:val="000000" w:themeColor="text1"/>
                <w:szCs w:val="21"/>
              </w:rPr>
            </w:pPr>
          </w:p>
        </w:tc>
        <w:tc>
          <w:tcPr>
            <w:tcW w:w="795" w:type="dxa"/>
            <w:vMerge w:val="continue"/>
            <w:vAlign w:val="center"/>
          </w:tcPr>
          <w:p>
            <w:pPr>
              <w:spacing w:line="560" w:lineRule="exact"/>
              <w:rPr>
                <w:rFonts w:ascii="仿宋_GB2312" w:hAnsi="仿宋_GB2312" w:eastAsia="仿宋_GB2312" w:cs="仿宋_GB2312"/>
                <w:color w:val="000000" w:themeColor="text1"/>
                <w:szCs w:val="21"/>
              </w:rPr>
            </w:pPr>
          </w:p>
        </w:tc>
        <w:tc>
          <w:tcPr>
            <w:tcW w:w="750" w:type="dxa"/>
            <w:vMerge w:val="continue"/>
            <w:vAlign w:val="center"/>
          </w:tcPr>
          <w:p>
            <w:pPr>
              <w:spacing w:line="560" w:lineRule="exact"/>
              <w:rPr>
                <w:rFonts w:ascii="仿宋_GB2312" w:hAnsi="仿宋_GB2312" w:eastAsia="仿宋_GB2312" w:cs="仿宋_GB2312"/>
                <w:color w:val="000000" w:themeColor="text1"/>
                <w:szCs w:val="21"/>
              </w:rPr>
            </w:pPr>
          </w:p>
        </w:tc>
        <w:tc>
          <w:tcPr>
            <w:tcW w:w="1050" w:type="dxa"/>
            <w:vMerge w:val="continue"/>
            <w:vAlign w:val="center"/>
          </w:tcPr>
          <w:p>
            <w:pPr>
              <w:spacing w:line="560" w:lineRule="exact"/>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头痛病【偏头痛伴有先兆（典型偏头痛）】</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G43.100</w:t>
            </w:r>
          </w:p>
        </w:tc>
        <w:tc>
          <w:tcPr>
            <w:tcW w:w="636" w:type="dxa"/>
            <w:vMerge w:val="continue"/>
            <w:vAlign w:val="center"/>
          </w:tcPr>
          <w:p>
            <w:pPr>
              <w:spacing w:line="560" w:lineRule="exact"/>
              <w:rPr>
                <w:rFonts w:ascii="仿宋_GB2312" w:hAnsi="仿宋_GB2312" w:eastAsia="仿宋_GB2312" w:cs="仿宋_GB2312"/>
                <w:color w:val="000000" w:themeColor="text1"/>
                <w:szCs w:val="21"/>
              </w:rPr>
            </w:pPr>
          </w:p>
        </w:tc>
        <w:tc>
          <w:tcPr>
            <w:tcW w:w="901" w:type="dxa"/>
            <w:vMerge w:val="continue"/>
            <w:vAlign w:val="center"/>
          </w:tcPr>
          <w:p>
            <w:pPr>
              <w:spacing w:line="560" w:lineRule="exact"/>
              <w:rPr>
                <w:rFonts w:ascii="仿宋_GB2312" w:hAnsi="仿宋_GB2312" w:eastAsia="仿宋_GB2312" w:cs="仿宋_GB2312"/>
                <w:color w:val="000000" w:themeColor="text1"/>
                <w:szCs w:val="21"/>
              </w:rPr>
            </w:pPr>
          </w:p>
        </w:tc>
        <w:tc>
          <w:tcPr>
            <w:tcW w:w="783" w:type="dxa"/>
            <w:vMerge w:val="continue"/>
            <w:vAlign w:val="center"/>
          </w:tcPr>
          <w:p>
            <w:pPr>
              <w:spacing w:line="560" w:lineRule="exact"/>
              <w:rPr>
                <w:rFonts w:ascii="仿宋_GB2312" w:hAnsi="仿宋_GB2312" w:eastAsia="仿宋_GB2312" w:cs="仿宋_GB2312"/>
                <w:color w:val="000000" w:themeColor="text1"/>
                <w:szCs w:val="21"/>
              </w:rPr>
            </w:pPr>
          </w:p>
        </w:tc>
        <w:tc>
          <w:tcPr>
            <w:tcW w:w="687" w:type="dxa"/>
            <w:vMerge w:val="continue"/>
            <w:vAlign w:val="center"/>
          </w:tcPr>
          <w:p>
            <w:pPr>
              <w:spacing w:line="560" w:lineRule="exact"/>
              <w:rPr>
                <w:rFonts w:ascii="仿宋_GB2312" w:hAnsi="仿宋_GB2312" w:eastAsia="仿宋_GB2312" w:cs="仿宋_GB2312"/>
                <w:color w:val="000000" w:themeColor="text1"/>
                <w:szCs w:val="21"/>
              </w:rPr>
            </w:pPr>
          </w:p>
        </w:tc>
        <w:tc>
          <w:tcPr>
            <w:tcW w:w="795" w:type="dxa"/>
            <w:vMerge w:val="continue"/>
            <w:vAlign w:val="center"/>
          </w:tcPr>
          <w:p>
            <w:pPr>
              <w:spacing w:line="560" w:lineRule="exact"/>
              <w:rPr>
                <w:rFonts w:ascii="仿宋_GB2312" w:hAnsi="仿宋_GB2312" w:eastAsia="仿宋_GB2312" w:cs="仿宋_GB2312"/>
                <w:color w:val="000000" w:themeColor="text1"/>
                <w:szCs w:val="21"/>
              </w:rPr>
            </w:pPr>
          </w:p>
        </w:tc>
        <w:tc>
          <w:tcPr>
            <w:tcW w:w="750" w:type="dxa"/>
            <w:vMerge w:val="continue"/>
            <w:vAlign w:val="center"/>
          </w:tcPr>
          <w:p>
            <w:pPr>
              <w:spacing w:line="560" w:lineRule="exact"/>
              <w:rPr>
                <w:rFonts w:ascii="仿宋_GB2312" w:hAnsi="仿宋_GB2312" w:eastAsia="仿宋_GB2312" w:cs="仿宋_GB2312"/>
                <w:color w:val="000000" w:themeColor="text1"/>
                <w:szCs w:val="21"/>
              </w:rPr>
            </w:pPr>
          </w:p>
        </w:tc>
        <w:tc>
          <w:tcPr>
            <w:tcW w:w="1050" w:type="dxa"/>
            <w:vMerge w:val="continue"/>
            <w:vAlign w:val="center"/>
          </w:tcPr>
          <w:p>
            <w:pPr>
              <w:spacing w:line="560" w:lineRule="exact"/>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854"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1695" w:type="dxa"/>
            <w:vMerge w:val="continue"/>
            <w:vAlign w:val="center"/>
          </w:tcPr>
          <w:p>
            <w:pPr>
              <w:spacing w:line="500" w:lineRule="exact"/>
              <w:jc w:val="center"/>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头痛病（偏头痛状态）</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G43.200</w:t>
            </w:r>
          </w:p>
        </w:tc>
        <w:tc>
          <w:tcPr>
            <w:tcW w:w="636" w:type="dxa"/>
            <w:vMerge w:val="continue"/>
            <w:vAlign w:val="center"/>
          </w:tcPr>
          <w:p>
            <w:pPr>
              <w:spacing w:line="560" w:lineRule="exact"/>
              <w:rPr>
                <w:rFonts w:ascii="仿宋_GB2312" w:hAnsi="仿宋_GB2312" w:eastAsia="仿宋_GB2312" w:cs="仿宋_GB2312"/>
                <w:color w:val="000000" w:themeColor="text1"/>
                <w:szCs w:val="21"/>
              </w:rPr>
            </w:pPr>
          </w:p>
        </w:tc>
        <w:tc>
          <w:tcPr>
            <w:tcW w:w="901" w:type="dxa"/>
            <w:vMerge w:val="continue"/>
            <w:vAlign w:val="center"/>
          </w:tcPr>
          <w:p>
            <w:pPr>
              <w:spacing w:line="560" w:lineRule="exact"/>
              <w:rPr>
                <w:rFonts w:ascii="仿宋_GB2312" w:hAnsi="仿宋_GB2312" w:eastAsia="仿宋_GB2312" w:cs="仿宋_GB2312"/>
                <w:color w:val="000000" w:themeColor="text1"/>
                <w:szCs w:val="21"/>
              </w:rPr>
            </w:pPr>
          </w:p>
        </w:tc>
        <w:tc>
          <w:tcPr>
            <w:tcW w:w="783" w:type="dxa"/>
            <w:vMerge w:val="continue"/>
            <w:vAlign w:val="center"/>
          </w:tcPr>
          <w:p>
            <w:pPr>
              <w:spacing w:line="560" w:lineRule="exact"/>
              <w:rPr>
                <w:rFonts w:ascii="仿宋_GB2312" w:hAnsi="仿宋_GB2312" w:eastAsia="仿宋_GB2312" w:cs="仿宋_GB2312"/>
                <w:color w:val="000000" w:themeColor="text1"/>
                <w:szCs w:val="21"/>
              </w:rPr>
            </w:pPr>
          </w:p>
        </w:tc>
        <w:tc>
          <w:tcPr>
            <w:tcW w:w="687" w:type="dxa"/>
            <w:vMerge w:val="continue"/>
            <w:vAlign w:val="center"/>
          </w:tcPr>
          <w:p>
            <w:pPr>
              <w:spacing w:line="560" w:lineRule="exact"/>
              <w:rPr>
                <w:rFonts w:ascii="仿宋_GB2312" w:hAnsi="仿宋_GB2312" w:eastAsia="仿宋_GB2312" w:cs="仿宋_GB2312"/>
                <w:color w:val="000000" w:themeColor="text1"/>
                <w:szCs w:val="21"/>
              </w:rPr>
            </w:pPr>
          </w:p>
        </w:tc>
        <w:tc>
          <w:tcPr>
            <w:tcW w:w="795" w:type="dxa"/>
            <w:vMerge w:val="continue"/>
            <w:vAlign w:val="center"/>
          </w:tcPr>
          <w:p>
            <w:pPr>
              <w:spacing w:line="560" w:lineRule="exact"/>
              <w:rPr>
                <w:rFonts w:ascii="仿宋_GB2312" w:hAnsi="仿宋_GB2312" w:eastAsia="仿宋_GB2312" w:cs="仿宋_GB2312"/>
                <w:color w:val="000000" w:themeColor="text1"/>
                <w:szCs w:val="21"/>
              </w:rPr>
            </w:pPr>
          </w:p>
        </w:tc>
        <w:tc>
          <w:tcPr>
            <w:tcW w:w="750" w:type="dxa"/>
            <w:vMerge w:val="continue"/>
            <w:vAlign w:val="center"/>
          </w:tcPr>
          <w:p>
            <w:pPr>
              <w:spacing w:line="560" w:lineRule="exact"/>
              <w:rPr>
                <w:rFonts w:ascii="仿宋_GB2312" w:hAnsi="仿宋_GB2312" w:eastAsia="仿宋_GB2312" w:cs="仿宋_GB2312"/>
                <w:color w:val="000000" w:themeColor="text1"/>
                <w:szCs w:val="21"/>
              </w:rPr>
            </w:pPr>
          </w:p>
        </w:tc>
        <w:tc>
          <w:tcPr>
            <w:tcW w:w="1050" w:type="dxa"/>
            <w:vMerge w:val="continue"/>
            <w:vAlign w:val="center"/>
          </w:tcPr>
          <w:p>
            <w:pPr>
              <w:spacing w:line="560" w:lineRule="exact"/>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41" w:type="dxa"/>
            <w:vMerge w:val="continue"/>
            <w:vAlign w:val="center"/>
          </w:tcPr>
          <w:p>
            <w:pPr>
              <w:spacing w:line="500" w:lineRule="exact"/>
              <w:rPr>
                <w:rFonts w:ascii="仿宋_GB2312" w:hAnsi="仿宋_GB2312" w:eastAsia="仿宋_GB2312" w:cs="仿宋_GB2312"/>
                <w:color w:val="000000" w:themeColor="text1"/>
                <w:szCs w:val="21"/>
              </w:rPr>
            </w:pPr>
          </w:p>
        </w:tc>
        <w:tc>
          <w:tcPr>
            <w:tcW w:w="1854" w:type="dxa"/>
            <w:vMerge w:val="continue"/>
            <w:vAlign w:val="center"/>
          </w:tcPr>
          <w:p>
            <w:pPr>
              <w:spacing w:line="500" w:lineRule="exact"/>
              <w:rPr>
                <w:rFonts w:ascii="仿宋_GB2312" w:hAnsi="仿宋_GB2312" w:eastAsia="仿宋_GB2312" w:cs="仿宋_GB2312"/>
                <w:color w:val="000000" w:themeColor="text1"/>
                <w:szCs w:val="21"/>
              </w:rPr>
            </w:pPr>
          </w:p>
        </w:tc>
        <w:tc>
          <w:tcPr>
            <w:tcW w:w="1695" w:type="dxa"/>
            <w:vMerge w:val="continue"/>
            <w:vAlign w:val="center"/>
          </w:tcPr>
          <w:p>
            <w:pPr>
              <w:spacing w:line="500" w:lineRule="exact"/>
              <w:rPr>
                <w:rFonts w:ascii="仿宋_GB2312" w:hAnsi="仿宋_GB2312" w:eastAsia="仿宋_GB2312" w:cs="仿宋_GB2312"/>
                <w:color w:val="000000" w:themeColor="text1"/>
                <w:szCs w:val="21"/>
              </w:rPr>
            </w:pPr>
          </w:p>
        </w:tc>
        <w:tc>
          <w:tcPr>
            <w:tcW w:w="4043" w:type="dxa"/>
            <w:vAlign w:val="center"/>
          </w:tcPr>
          <w:p>
            <w:pPr>
              <w:widowControl/>
              <w:spacing w:line="50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头痛病（偏头痛，其他的）</w:t>
            </w:r>
          </w:p>
        </w:tc>
        <w:tc>
          <w:tcPr>
            <w:tcW w:w="1440" w:type="dxa"/>
            <w:vAlign w:val="center"/>
          </w:tcPr>
          <w:p>
            <w:pPr>
              <w:spacing w:line="50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G43.800</w:t>
            </w:r>
          </w:p>
        </w:tc>
        <w:tc>
          <w:tcPr>
            <w:tcW w:w="636" w:type="dxa"/>
            <w:vMerge w:val="continue"/>
            <w:vAlign w:val="center"/>
          </w:tcPr>
          <w:p>
            <w:pPr>
              <w:spacing w:line="560" w:lineRule="exact"/>
              <w:rPr>
                <w:rFonts w:ascii="仿宋_GB2312" w:hAnsi="仿宋_GB2312" w:eastAsia="仿宋_GB2312" w:cs="仿宋_GB2312"/>
                <w:color w:val="000000" w:themeColor="text1"/>
                <w:szCs w:val="21"/>
              </w:rPr>
            </w:pPr>
          </w:p>
        </w:tc>
        <w:tc>
          <w:tcPr>
            <w:tcW w:w="901" w:type="dxa"/>
            <w:vMerge w:val="continue"/>
            <w:vAlign w:val="center"/>
          </w:tcPr>
          <w:p>
            <w:pPr>
              <w:spacing w:line="560" w:lineRule="exact"/>
              <w:rPr>
                <w:rFonts w:ascii="仿宋_GB2312" w:hAnsi="仿宋_GB2312" w:eastAsia="仿宋_GB2312" w:cs="仿宋_GB2312"/>
                <w:color w:val="000000" w:themeColor="text1"/>
                <w:szCs w:val="21"/>
              </w:rPr>
            </w:pPr>
          </w:p>
        </w:tc>
        <w:tc>
          <w:tcPr>
            <w:tcW w:w="783" w:type="dxa"/>
            <w:vMerge w:val="continue"/>
            <w:vAlign w:val="center"/>
          </w:tcPr>
          <w:p>
            <w:pPr>
              <w:spacing w:line="560" w:lineRule="exact"/>
              <w:rPr>
                <w:rFonts w:ascii="仿宋_GB2312" w:hAnsi="仿宋_GB2312" w:eastAsia="仿宋_GB2312" w:cs="仿宋_GB2312"/>
                <w:color w:val="000000" w:themeColor="text1"/>
                <w:szCs w:val="21"/>
              </w:rPr>
            </w:pPr>
          </w:p>
        </w:tc>
        <w:tc>
          <w:tcPr>
            <w:tcW w:w="687" w:type="dxa"/>
            <w:vMerge w:val="continue"/>
            <w:vAlign w:val="center"/>
          </w:tcPr>
          <w:p>
            <w:pPr>
              <w:spacing w:line="560" w:lineRule="exact"/>
              <w:rPr>
                <w:rFonts w:ascii="仿宋_GB2312" w:hAnsi="仿宋_GB2312" w:eastAsia="仿宋_GB2312" w:cs="仿宋_GB2312"/>
                <w:color w:val="000000" w:themeColor="text1"/>
                <w:szCs w:val="21"/>
              </w:rPr>
            </w:pPr>
          </w:p>
        </w:tc>
        <w:tc>
          <w:tcPr>
            <w:tcW w:w="795" w:type="dxa"/>
            <w:vMerge w:val="continue"/>
            <w:vAlign w:val="center"/>
          </w:tcPr>
          <w:p>
            <w:pPr>
              <w:spacing w:line="560" w:lineRule="exact"/>
              <w:rPr>
                <w:rFonts w:ascii="仿宋_GB2312" w:hAnsi="仿宋_GB2312" w:eastAsia="仿宋_GB2312" w:cs="仿宋_GB2312"/>
                <w:color w:val="000000" w:themeColor="text1"/>
                <w:szCs w:val="21"/>
              </w:rPr>
            </w:pPr>
          </w:p>
        </w:tc>
        <w:tc>
          <w:tcPr>
            <w:tcW w:w="750" w:type="dxa"/>
            <w:vMerge w:val="continue"/>
            <w:vAlign w:val="center"/>
          </w:tcPr>
          <w:p>
            <w:pPr>
              <w:spacing w:line="560" w:lineRule="exact"/>
              <w:rPr>
                <w:rFonts w:ascii="仿宋_GB2312" w:hAnsi="仿宋_GB2312" w:eastAsia="仿宋_GB2312" w:cs="仿宋_GB2312"/>
                <w:color w:val="000000" w:themeColor="text1"/>
                <w:szCs w:val="21"/>
              </w:rPr>
            </w:pPr>
          </w:p>
        </w:tc>
        <w:tc>
          <w:tcPr>
            <w:tcW w:w="1050" w:type="dxa"/>
            <w:vMerge w:val="continue"/>
            <w:vAlign w:val="center"/>
          </w:tcPr>
          <w:p>
            <w:pPr>
              <w:spacing w:line="560" w:lineRule="exact"/>
              <w:rPr>
                <w:rFonts w:ascii="仿宋_GB2312" w:hAnsi="仿宋_GB2312" w:eastAsia="仿宋_GB2312" w:cs="仿宋_GB2312"/>
                <w:color w:val="000000" w:themeColor="text1"/>
                <w:szCs w:val="21"/>
              </w:rPr>
            </w:pPr>
          </w:p>
        </w:tc>
      </w:tr>
    </w:tbl>
    <w:p>
      <w:pPr>
        <w:spacing w:line="560" w:lineRule="exact"/>
        <w:rPr>
          <w:rFonts w:ascii="仿宋_GB2312" w:hAnsi="仿宋_GB2312" w:eastAsia="仿宋_GB2312" w:cs="仿宋_GB2312"/>
          <w:color w:val="000000" w:themeColor="text1"/>
          <w:sz w:val="32"/>
          <w:szCs w:val="32"/>
        </w:rPr>
        <w:sectPr>
          <w:pgSz w:w="16838" w:h="11850" w:orient="landscape"/>
          <w:pgMar w:top="1134" w:right="1134" w:bottom="1020" w:left="1134" w:header="851" w:footer="992" w:gutter="0"/>
          <w:pgNumType w:fmt="numberInDash"/>
          <w:cols w:space="0" w:num="1"/>
          <w:docGrid w:type="lines" w:linePitch="313" w:charSpace="0"/>
        </w:sectPr>
      </w:pP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附件2</w:t>
      </w:r>
    </w:p>
    <w:p>
      <w:pPr>
        <w:spacing w:line="56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适宜日间病床收治病种及支付标准（西医）</w:t>
      </w:r>
    </w:p>
    <w:p>
      <w:pPr>
        <w:spacing w:line="560" w:lineRule="exact"/>
        <w:jc w:val="center"/>
        <w:rPr>
          <w:rFonts w:ascii="方正小标宋简体" w:hAnsi="方正小标宋简体" w:eastAsia="方正小标宋简体" w:cs="方正小标宋简体"/>
          <w:color w:val="000000" w:themeColor="text1"/>
          <w:sz w:val="30"/>
          <w:szCs w:val="30"/>
        </w:rPr>
      </w:pPr>
    </w:p>
    <w:tbl>
      <w:tblPr>
        <w:tblStyle w:val="11"/>
        <w:tblW w:w="12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2019"/>
        <w:gridCol w:w="1530"/>
        <w:gridCol w:w="1440"/>
        <w:gridCol w:w="1196"/>
        <w:gridCol w:w="884"/>
        <w:gridCol w:w="687"/>
        <w:gridCol w:w="1086"/>
        <w:gridCol w:w="900"/>
        <w:gridCol w:w="945"/>
        <w:gridCol w:w="1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序号</w:t>
            </w:r>
          </w:p>
        </w:tc>
        <w:tc>
          <w:tcPr>
            <w:tcW w:w="2019"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病种名称</w:t>
            </w:r>
          </w:p>
        </w:tc>
        <w:tc>
          <w:tcPr>
            <w:tcW w:w="153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关键诊疗技术</w:t>
            </w:r>
          </w:p>
        </w:tc>
        <w:tc>
          <w:tcPr>
            <w:tcW w:w="1440"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ICD-10</w:t>
            </w:r>
          </w:p>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医保版</w:t>
            </w:r>
          </w:p>
        </w:tc>
        <w:tc>
          <w:tcPr>
            <w:tcW w:w="2767" w:type="dxa"/>
            <w:gridSpan w:val="3"/>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一级及以下医疗机构</w:t>
            </w:r>
          </w:p>
        </w:tc>
        <w:tc>
          <w:tcPr>
            <w:tcW w:w="2931" w:type="dxa"/>
            <w:gridSpan w:val="3"/>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二级医疗机构</w:t>
            </w:r>
          </w:p>
        </w:tc>
        <w:tc>
          <w:tcPr>
            <w:tcW w:w="1138" w:type="dxa"/>
            <w:vMerge w:val="restart"/>
            <w:vAlign w:val="center"/>
          </w:tcPr>
          <w:p>
            <w:pPr>
              <w:spacing w:line="560" w:lineRule="exact"/>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治疗天数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Merge w:val="continue"/>
            <w:vAlign w:val="center"/>
          </w:tcPr>
          <w:p>
            <w:pPr>
              <w:spacing w:line="560" w:lineRule="exact"/>
              <w:rPr>
                <w:rFonts w:ascii="仿宋_GB2312" w:hAnsi="仿宋_GB2312" w:eastAsia="仿宋_GB2312" w:cs="仿宋_GB2312"/>
                <w:color w:val="000000" w:themeColor="text1"/>
                <w:szCs w:val="21"/>
              </w:rPr>
            </w:pPr>
          </w:p>
        </w:tc>
        <w:tc>
          <w:tcPr>
            <w:tcW w:w="2019" w:type="dxa"/>
            <w:vMerge w:val="continue"/>
            <w:vAlign w:val="center"/>
          </w:tcPr>
          <w:p>
            <w:pPr>
              <w:spacing w:line="560" w:lineRule="exact"/>
              <w:rPr>
                <w:rFonts w:ascii="仿宋_GB2312" w:hAnsi="仿宋_GB2312" w:eastAsia="仿宋_GB2312" w:cs="仿宋_GB2312"/>
                <w:color w:val="000000" w:themeColor="text1"/>
                <w:szCs w:val="21"/>
              </w:rPr>
            </w:pPr>
          </w:p>
        </w:tc>
        <w:tc>
          <w:tcPr>
            <w:tcW w:w="1530" w:type="dxa"/>
            <w:vMerge w:val="continue"/>
            <w:vAlign w:val="center"/>
          </w:tcPr>
          <w:p>
            <w:pPr>
              <w:spacing w:line="560" w:lineRule="exact"/>
              <w:rPr>
                <w:rFonts w:ascii="仿宋_GB2312" w:hAnsi="仿宋_GB2312" w:eastAsia="仿宋_GB2312" w:cs="仿宋_GB2312"/>
                <w:color w:val="000000" w:themeColor="text1"/>
                <w:szCs w:val="21"/>
              </w:rPr>
            </w:pPr>
          </w:p>
        </w:tc>
        <w:tc>
          <w:tcPr>
            <w:tcW w:w="1440" w:type="dxa"/>
            <w:vMerge w:val="continue"/>
            <w:vAlign w:val="center"/>
          </w:tcPr>
          <w:p>
            <w:pPr>
              <w:spacing w:line="560" w:lineRule="exact"/>
              <w:rPr>
                <w:rFonts w:ascii="仿宋_GB2312" w:hAnsi="仿宋_GB2312" w:eastAsia="仿宋_GB2312" w:cs="仿宋_GB2312"/>
                <w:color w:val="000000" w:themeColor="text1"/>
                <w:szCs w:val="21"/>
              </w:rPr>
            </w:pPr>
          </w:p>
        </w:tc>
        <w:tc>
          <w:tcPr>
            <w:tcW w:w="119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支付定额</w:t>
            </w:r>
          </w:p>
        </w:tc>
        <w:tc>
          <w:tcPr>
            <w:tcW w:w="1571" w:type="dxa"/>
            <w:gridSpan w:val="2"/>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支付比例</w:t>
            </w:r>
          </w:p>
        </w:tc>
        <w:tc>
          <w:tcPr>
            <w:tcW w:w="1086" w:type="dxa"/>
            <w:vMerge w:val="restart"/>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支付定额</w:t>
            </w:r>
          </w:p>
        </w:tc>
        <w:tc>
          <w:tcPr>
            <w:tcW w:w="1845" w:type="dxa"/>
            <w:gridSpan w:val="2"/>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支付比例</w:t>
            </w:r>
          </w:p>
        </w:tc>
        <w:tc>
          <w:tcPr>
            <w:tcW w:w="1138" w:type="dxa"/>
            <w:vMerge w:val="continue"/>
            <w:vAlign w:val="center"/>
          </w:tcPr>
          <w:p>
            <w:pPr>
              <w:spacing w:line="560" w:lineRule="exact"/>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Merge w:val="continue"/>
            <w:vAlign w:val="center"/>
          </w:tcPr>
          <w:p>
            <w:pPr>
              <w:spacing w:line="560" w:lineRule="exact"/>
              <w:rPr>
                <w:rFonts w:ascii="仿宋_GB2312" w:hAnsi="仿宋_GB2312" w:eastAsia="仿宋_GB2312" w:cs="仿宋_GB2312"/>
                <w:color w:val="000000" w:themeColor="text1"/>
                <w:szCs w:val="21"/>
              </w:rPr>
            </w:pPr>
          </w:p>
        </w:tc>
        <w:tc>
          <w:tcPr>
            <w:tcW w:w="2019" w:type="dxa"/>
            <w:vMerge w:val="continue"/>
            <w:vAlign w:val="center"/>
          </w:tcPr>
          <w:p>
            <w:pPr>
              <w:spacing w:line="560" w:lineRule="exact"/>
              <w:rPr>
                <w:rFonts w:ascii="仿宋_GB2312" w:hAnsi="仿宋_GB2312" w:eastAsia="仿宋_GB2312" w:cs="仿宋_GB2312"/>
                <w:color w:val="000000" w:themeColor="text1"/>
                <w:szCs w:val="21"/>
              </w:rPr>
            </w:pPr>
          </w:p>
        </w:tc>
        <w:tc>
          <w:tcPr>
            <w:tcW w:w="1530" w:type="dxa"/>
            <w:vMerge w:val="continue"/>
            <w:vAlign w:val="center"/>
          </w:tcPr>
          <w:p>
            <w:pPr>
              <w:spacing w:line="560" w:lineRule="exact"/>
              <w:rPr>
                <w:rFonts w:ascii="仿宋_GB2312" w:hAnsi="仿宋_GB2312" w:eastAsia="仿宋_GB2312" w:cs="仿宋_GB2312"/>
                <w:color w:val="000000" w:themeColor="text1"/>
                <w:szCs w:val="21"/>
              </w:rPr>
            </w:pPr>
          </w:p>
        </w:tc>
        <w:tc>
          <w:tcPr>
            <w:tcW w:w="1440" w:type="dxa"/>
            <w:vMerge w:val="continue"/>
            <w:vAlign w:val="center"/>
          </w:tcPr>
          <w:p>
            <w:pPr>
              <w:spacing w:line="560" w:lineRule="exact"/>
              <w:rPr>
                <w:rFonts w:ascii="仿宋_GB2312" w:hAnsi="仿宋_GB2312" w:eastAsia="仿宋_GB2312" w:cs="仿宋_GB2312"/>
                <w:color w:val="000000" w:themeColor="text1"/>
                <w:szCs w:val="21"/>
              </w:rPr>
            </w:pPr>
          </w:p>
        </w:tc>
        <w:tc>
          <w:tcPr>
            <w:tcW w:w="1196" w:type="dxa"/>
            <w:vMerge w:val="continue"/>
            <w:vAlign w:val="center"/>
          </w:tcPr>
          <w:p>
            <w:pPr>
              <w:spacing w:line="560" w:lineRule="exact"/>
              <w:rPr>
                <w:rFonts w:ascii="仿宋_GB2312" w:hAnsi="仿宋_GB2312" w:eastAsia="仿宋_GB2312" w:cs="仿宋_GB2312"/>
                <w:color w:val="000000" w:themeColor="text1"/>
                <w:szCs w:val="21"/>
              </w:rPr>
            </w:pP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职工</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居民</w:t>
            </w:r>
          </w:p>
        </w:tc>
        <w:tc>
          <w:tcPr>
            <w:tcW w:w="1086" w:type="dxa"/>
            <w:vMerge w:val="continue"/>
            <w:vAlign w:val="center"/>
          </w:tcPr>
          <w:p>
            <w:pPr>
              <w:spacing w:line="560" w:lineRule="exact"/>
              <w:jc w:val="center"/>
              <w:rPr>
                <w:rFonts w:ascii="仿宋_GB2312" w:hAnsi="仿宋_GB2312" w:eastAsia="仿宋_GB2312" w:cs="仿宋_GB2312"/>
                <w:color w:val="000000" w:themeColor="text1"/>
                <w:szCs w:val="21"/>
              </w:rPr>
            </w:pP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职工</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居民</w:t>
            </w:r>
          </w:p>
        </w:tc>
        <w:tc>
          <w:tcPr>
            <w:tcW w:w="1138" w:type="dxa"/>
            <w:vMerge w:val="continue"/>
            <w:vAlign w:val="center"/>
          </w:tcPr>
          <w:p>
            <w:pPr>
              <w:spacing w:line="560" w:lineRule="exact"/>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1</w:t>
            </w:r>
          </w:p>
        </w:tc>
        <w:tc>
          <w:tcPr>
            <w:tcW w:w="2019"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支气管肺炎</w:t>
            </w:r>
          </w:p>
        </w:tc>
        <w:tc>
          <w:tcPr>
            <w:tcW w:w="1530"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内科综合治疗</w:t>
            </w:r>
          </w:p>
        </w:tc>
        <w:tc>
          <w:tcPr>
            <w:tcW w:w="144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J18.000</w:t>
            </w:r>
          </w:p>
        </w:tc>
        <w:tc>
          <w:tcPr>
            <w:tcW w:w="119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800</w:t>
            </w: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108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60%</w:t>
            </w:r>
          </w:p>
        </w:tc>
        <w:tc>
          <w:tcPr>
            <w:tcW w:w="1138" w:type="dxa"/>
            <w:vAlign w:val="center"/>
          </w:tcPr>
          <w:p>
            <w:pPr>
              <w:spacing w:line="560" w:lineRule="exact"/>
              <w:jc w:val="center"/>
              <w:rPr>
                <w:rFonts w:ascii="仿宋_GB2312" w:hAnsi="仿宋_GB2312" w:eastAsia="仿宋_GB2312" w:cs="仿宋_GB2312"/>
                <w:color w:val="000000" w:themeColor="text1"/>
                <w:szCs w:val="21"/>
              </w:rPr>
            </w:pPr>
            <w:r>
              <w:rPr>
                <w:rFonts w:hint="eastAsia" w:ascii="Arial" w:hAnsi="Arial" w:eastAsia="仿宋_GB2312" w:cs="Arial"/>
                <w:color w:val="000000" w:themeColor="text1"/>
                <w:szCs w:val="21"/>
              </w:rPr>
              <w:t>≥</w:t>
            </w:r>
            <w:r>
              <w:rPr>
                <w:rFonts w:hint="eastAsia" w:ascii="仿宋_GB2312" w:hAnsi="仿宋_GB2312" w:eastAsia="仿宋_GB2312" w:cs="仿宋_GB2312"/>
                <w:color w:val="000000" w:themeColor="text1"/>
                <w:szCs w:val="21"/>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2019"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女性盆腔炎</w:t>
            </w:r>
          </w:p>
        </w:tc>
        <w:tc>
          <w:tcPr>
            <w:tcW w:w="1530"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内科综合治疗</w:t>
            </w:r>
          </w:p>
        </w:tc>
        <w:tc>
          <w:tcPr>
            <w:tcW w:w="144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N73.902</w:t>
            </w:r>
          </w:p>
        </w:tc>
        <w:tc>
          <w:tcPr>
            <w:tcW w:w="119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800</w:t>
            </w: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108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60%</w:t>
            </w:r>
          </w:p>
        </w:tc>
        <w:tc>
          <w:tcPr>
            <w:tcW w:w="1138" w:type="dxa"/>
            <w:vAlign w:val="center"/>
          </w:tcPr>
          <w:p>
            <w:pPr>
              <w:spacing w:line="560" w:lineRule="exact"/>
              <w:jc w:val="center"/>
              <w:rPr>
                <w:rFonts w:ascii="仿宋_GB2312" w:hAnsi="仿宋_GB2312" w:eastAsia="仿宋_GB2312" w:cs="仿宋_GB2312"/>
                <w:color w:val="000000" w:themeColor="text1"/>
                <w:szCs w:val="21"/>
              </w:rPr>
            </w:pPr>
            <w:r>
              <w:rPr>
                <w:rFonts w:hint="eastAsia" w:ascii="Arial" w:hAnsi="Arial" w:eastAsia="仿宋_GB2312" w:cs="Arial"/>
                <w:color w:val="000000" w:themeColor="text1"/>
                <w:szCs w:val="21"/>
              </w:rPr>
              <w:t>≥</w:t>
            </w:r>
            <w:r>
              <w:rPr>
                <w:rFonts w:hint="eastAsia" w:ascii="仿宋_GB2312" w:hAnsi="仿宋_GB2312" w:eastAsia="仿宋_GB2312" w:cs="仿宋_GB2312"/>
                <w:color w:val="000000" w:themeColor="text1"/>
                <w:szCs w:val="21"/>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3</w:t>
            </w:r>
          </w:p>
        </w:tc>
        <w:tc>
          <w:tcPr>
            <w:tcW w:w="2019"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急性胃肠炎</w:t>
            </w:r>
          </w:p>
        </w:tc>
        <w:tc>
          <w:tcPr>
            <w:tcW w:w="1530"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内科综合治疗</w:t>
            </w:r>
          </w:p>
        </w:tc>
        <w:tc>
          <w:tcPr>
            <w:tcW w:w="144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K52.905</w:t>
            </w:r>
          </w:p>
        </w:tc>
        <w:tc>
          <w:tcPr>
            <w:tcW w:w="119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400</w:t>
            </w: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108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500</w:t>
            </w: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60%</w:t>
            </w:r>
          </w:p>
        </w:tc>
        <w:tc>
          <w:tcPr>
            <w:tcW w:w="1138" w:type="dxa"/>
            <w:vAlign w:val="center"/>
          </w:tcPr>
          <w:p>
            <w:pPr>
              <w:spacing w:line="560" w:lineRule="exact"/>
              <w:jc w:val="center"/>
              <w:rPr>
                <w:rFonts w:ascii="仿宋_GB2312" w:hAnsi="仿宋_GB2312" w:eastAsia="仿宋_GB2312" w:cs="仿宋_GB2312"/>
                <w:color w:val="000000" w:themeColor="text1"/>
                <w:szCs w:val="21"/>
              </w:rPr>
            </w:pPr>
            <w:r>
              <w:rPr>
                <w:rFonts w:hint="eastAsia" w:ascii="Arial" w:hAnsi="Arial" w:eastAsia="仿宋_GB2312" w:cs="Arial"/>
                <w:color w:val="000000" w:themeColor="text1"/>
                <w:szCs w:val="21"/>
              </w:rPr>
              <w:t>≥</w:t>
            </w:r>
            <w:r>
              <w:rPr>
                <w:rFonts w:hint="eastAsia" w:ascii="仿宋_GB2312" w:hAnsi="仿宋_GB2312" w:eastAsia="仿宋_GB2312" w:cs="仿宋_GB2312"/>
                <w:color w:val="000000" w:themeColor="text1"/>
                <w:szCs w:val="21"/>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4</w:t>
            </w:r>
          </w:p>
        </w:tc>
        <w:tc>
          <w:tcPr>
            <w:tcW w:w="2019"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泌尿道感染</w:t>
            </w:r>
          </w:p>
        </w:tc>
        <w:tc>
          <w:tcPr>
            <w:tcW w:w="1530"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内科综合治疗</w:t>
            </w:r>
          </w:p>
        </w:tc>
        <w:tc>
          <w:tcPr>
            <w:tcW w:w="144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N39.000</w:t>
            </w:r>
          </w:p>
        </w:tc>
        <w:tc>
          <w:tcPr>
            <w:tcW w:w="119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800</w:t>
            </w: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108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900</w:t>
            </w: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60%</w:t>
            </w:r>
          </w:p>
        </w:tc>
        <w:tc>
          <w:tcPr>
            <w:tcW w:w="1138" w:type="dxa"/>
            <w:vAlign w:val="center"/>
          </w:tcPr>
          <w:p>
            <w:pPr>
              <w:spacing w:line="560" w:lineRule="exact"/>
              <w:jc w:val="center"/>
              <w:rPr>
                <w:rFonts w:ascii="仿宋_GB2312" w:hAnsi="仿宋_GB2312" w:eastAsia="仿宋_GB2312" w:cs="仿宋_GB2312"/>
                <w:color w:val="000000" w:themeColor="text1"/>
                <w:szCs w:val="21"/>
              </w:rPr>
            </w:pPr>
            <w:r>
              <w:rPr>
                <w:rFonts w:hint="eastAsia" w:ascii="Arial" w:hAnsi="Arial" w:eastAsia="仿宋_GB2312" w:cs="Arial"/>
                <w:color w:val="000000" w:themeColor="text1"/>
                <w:szCs w:val="21"/>
              </w:rPr>
              <w:t>≥</w:t>
            </w:r>
            <w:r>
              <w:rPr>
                <w:rFonts w:hint="eastAsia" w:ascii="仿宋_GB2312" w:hAnsi="仿宋_GB2312" w:eastAsia="仿宋_GB2312" w:cs="仿宋_GB2312"/>
                <w:color w:val="000000" w:themeColor="text1"/>
                <w:szCs w:val="21"/>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41"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5</w:t>
            </w:r>
          </w:p>
        </w:tc>
        <w:tc>
          <w:tcPr>
            <w:tcW w:w="2019"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短暂性脑缺血发作</w:t>
            </w:r>
          </w:p>
        </w:tc>
        <w:tc>
          <w:tcPr>
            <w:tcW w:w="1530" w:type="dxa"/>
            <w:vAlign w:val="center"/>
          </w:tcPr>
          <w:p>
            <w:pPr>
              <w:widowControl/>
              <w:spacing w:line="560" w:lineRule="exact"/>
              <w:jc w:val="center"/>
              <w:textAlignment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内科综合治疗</w:t>
            </w:r>
          </w:p>
        </w:tc>
        <w:tc>
          <w:tcPr>
            <w:tcW w:w="144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G45.900</w:t>
            </w:r>
          </w:p>
        </w:tc>
        <w:tc>
          <w:tcPr>
            <w:tcW w:w="119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1100</w:t>
            </w:r>
          </w:p>
        </w:tc>
        <w:tc>
          <w:tcPr>
            <w:tcW w:w="884"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75%</w:t>
            </w:r>
          </w:p>
        </w:tc>
        <w:tc>
          <w:tcPr>
            <w:tcW w:w="687"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1086"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1200</w:t>
            </w:r>
          </w:p>
        </w:tc>
        <w:tc>
          <w:tcPr>
            <w:tcW w:w="900"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70%</w:t>
            </w:r>
          </w:p>
        </w:tc>
        <w:tc>
          <w:tcPr>
            <w:tcW w:w="945" w:type="dxa"/>
            <w:vAlign w:val="center"/>
          </w:tcPr>
          <w:p>
            <w:pPr>
              <w:spacing w:line="560" w:lineRule="exact"/>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60%</w:t>
            </w:r>
          </w:p>
        </w:tc>
        <w:tc>
          <w:tcPr>
            <w:tcW w:w="1138" w:type="dxa"/>
            <w:vAlign w:val="center"/>
          </w:tcPr>
          <w:p>
            <w:pPr>
              <w:spacing w:line="560" w:lineRule="exact"/>
              <w:jc w:val="center"/>
              <w:rPr>
                <w:rFonts w:ascii="仿宋_GB2312" w:hAnsi="仿宋_GB2312" w:eastAsia="仿宋_GB2312" w:cs="仿宋_GB2312"/>
                <w:color w:val="000000" w:themeColor="text1"/>
                <w:szCs w:val="21"/>
              </w:rPr>
            </w:pPr>
            <w:r>
              <w:rPr>
                <w:rFonts w:hint="eastAsia" w:ascii="Arial" w:hAnsi="Arial" w:eastAsia="仿宋_GB2312" w:cs="Arial"/>
                <w:color w:val="000000" w:themeColor="text1"/>
                <w:szCs w:val="21"/>
              </w:rPr>
              <w:t>≥</w:t>
            </w:r>
            <w:r>
              <w:rPr>
                <w:rFonts w:hint="eastAsia" w:ascii="仿宋_GB2312" w:hAnsi="仿宋_GB2312" w:eastAsia="仿宋_GB2312" w:cs="仿宋_GB2312"/>
                <w:color w:val="000000" w:themeColor="text1"/>
                <w:szCs w:val="21"/>
              </w:rPr>
              <w:t>3天</w:t>
            </w:r>
          </w:p>
        </w:tc>
      </w:tr>
    </w:tbl>
    <w:p>
      <w:pPr>
        <w:spacing w:line="560" w:lineRule="exact"/>
        <w:rPr>
          <w:rFonts w:ascii="仿宋_GB2312" w:hAnsi="仿宋_GB2312" w:eastAsia="仿宋_GB2312" w:cs="仿宋_GB2312"/>
          <w:color w:val="000000" w:themeColor="text1"/>
          <w:sz w:val="32"/>
          <w:szCs w:val="32"/>
        </w:rPr>
        <w:sectPr>
          <w:pgSz w:w="16838" w:h="11850" w:orient="landscape"/>
          <w:pgMar w:top="1134" w:right="1134" w:bottom="1134" w:left="1134" w:header="851" w:footer="992" w:gutter="0"/>
          <w:pgNumType w:fmt="numberInDash"/>
          <w:cols w:space="0" w:num="1"/>
          <w:docGrid w:type="lines" w:linePitch="313" w:charSpace="0"/>
        </w:sectPr>
      </w:pP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附件3</w:t>
      </w:r>
    </w:p>
    <w:p>
      <w:pPr>
        <w:spacing w:line="560" w:lineRule="exact"/>
        <w:jc w:val="center"/>
        <w:rPr>
          <w:rFonts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rPr>
        <w:t>日间治疗病种退出申请审批表</w:t>
      </w:r>
    </w:p>
    <w:p>
      <w:pPr>
        <w:spacing w:line="560" w:lineRule="exact"/>
        <w:rPr>
          <w:rFonts w:ascii="方正小标宋简体" w:hAnsi="方正小标宋简体" w:eastAsia="方正小标宋简体" w:cs="方正小标宋简体"/>
          <w:color w:val="000000" w:themeColor="text1"/>
          <w:sz w:val="44"/>
          <w:szCs w:val="4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1"/>
        <w:gridCol w:w="1632"/>
        <w:gridCol w:w="1635"/>
        <w:gridCol w:w="1632"/>
        <w:gridCol w:w="1636"/>
        <w:gridCol w:w="1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642"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患者姓名</w:t>
            </w:r>
          </w:p>
        </w:tc>
        <w:tc>
          <w:tcPr>
            <w:tcW w:w="1642" w:type="dxa"/>
            <w:vAlign w:val="center"/>
          </w:tcPr>
          <w:p>
            <w:pPr>
              <w:spacing w:line="560" w:lineRule="exact"/>
              <w:rPr>
                <w:rFonts w:ascii="仿宋_GB2312" w:hAnsi="仿宋_GB2312" w:eastAsia="仿宋_GB2312" w:cs="仿宋_GB2312"/>
                <w:color w:val="000000" w:themeColor="text1"/>
                <w:sz w:val="32"/>
                <w:szCs w:val="32"/>
              </w:rPr>
            </w:pPr>
          </w:p>
        </w:tc>
        <w:tc>
          <w:tcPr>
            <w:tcW w:w="1642"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性别</w:t>
            </w:r>
          </w:p>
        </w:tc>
        <w:tc>
          <w:tcPr>
            <w:tcW w:w="1642" w:type="dxa"/>
            <w:vAlign w:val="center"/>
          </w:tcPr>
          <w:p>
            <w:pPr>
              <w:spacing w:line="560" w:lineRule="exact"/>
              <w:rPr>
                <w:rFonts w:ascii="仿宋_GB2312" w:hAnsi="仿宋_GB2312" w:eastAsia="仿宋_GB2312" w:cs="仿宋_GB2312"/>
                <w:color w:val="000000" w:themeColor="text1"/>
                <w:sz w:val="32"/>
                <w:szCs w:val="32"/>
              </w:rPr>
            </w:pPr>
          </w:p>
        </w:tc>
        <w:tc>
          <w:tcPr>
            <w:tcW w:w="1643"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年龄</w:t>
            </w:r>
          </w:p>
        </w:tc>
        <w:tc>
          <w:tcPr>
            <w:tcW w:w="1643" w:type="dxa"/>
            <w:vAlign w:val="center"/>
          </w:tcPr>
          <w:p>
            <w:pPr>
              <w:spacing w:line="560" w:lineRule="exact"/>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42"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身份证号</w:t>
            </w:r>
          </w:p>
        </w:tc>
        <w:tc>
          <w:tcPr>
            <w:tcW w:w="4926" w:type="dxa"/>
            <w:gridSpan w:val="3"/>
            <w:vAlign w:val="center"/>
          </w:tcPr>
          <w:p>
            <w:pPr>
              <w:spacing w:line="560" w:lineRule="exact"/>
              <w:rPr>
                <w:rFonts w:ascii="仿宋_GB2312" w:hAnsi="仿宋_GB2312" w:eastAsia="仿宋_GB2312" w:cs="仿宋_GB2312"/>
                <w:color w:val="000000" w:themeColor="text1"/>
                <w:sz w:val="32"/>
                <w:szCs w:val="32"/>
              </w:rPr>
            </w:pPr>
          </w:p>
        </w:tc>
        <w:tc>
          <w:tcPr>
            <w:tcW w:w="1643"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联系电话</w:t>
            </w:r>
          </w:p>
        </w:tc>
        <w:tc>
          <w:tcPr>
            <w:tcW w:w="1643" w:type="dxa"/>
            <w:vAlign w:val="center"/>
          </w:tcPr>
          <w:p>
            <w:pPr>
              <w:spacing w:line="560" w:lineRule="exact"/>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疾病诊断</w:t>
            </w:r>
          </w:p>
        </w:tc>
        <w:tc>
          <w:tcPr>
            <w:tcW w:w="4926" w:type="dxa"/>
            <w:gridSpan w:val="3"/>
            <w:vAlign w:val="center"/>
          </w:tcPr>
          <w:p>
            <w:pPr>
              <w:spacing w:line="560" w:lineRule="exact"/>
              <w:rPr>
                <w:rFonts w:ascii="仿宋_GB2312" w:hAnsi="仿宋_GB2312" w:eastAsia="仿宋_GB2312" w:cs="仿宋_GB2312"/>
                <w:color w:val="000000" w:themeColor="text1"/>
                <w:sz w:val="32"/>
                <w:szCs w:val="32"/>
              </w:rPr>
            </w:pPr>
          </w:p>
        </w:tc>
        <w:tc>
          <w:tcPr>
            <w:tcW w:w="1643"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治疗开始时间</w:t>
            </w:r>
          </w:p>
        </w:tc>
        <w:tc>
          <w:tcPr>
            <w:tcW w:w="1643" w:type="dxa"/>
            <w:vAlign w:val="center"/>
          </w:tcPr>
          <w:p>
            <w:pPr>
              <w:spacing w:line="560" w:lineRule="exact"/>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0" w:hRule="atLeast"/>
        </w:trPr>
        <w:tc>
          <w:tcPr>
            <w:tcW w:w="1642" w:type="dxa"/>
            <w:vAlign w:val="center"/>
          </w:tcPr>
          <w:p>
            <w:pPr>
              <w:spacing w:line="560" w:lineRule="exact"/>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疾病情况</w:t>
            </w:r>
          </w:p>
        </w:tc>
        <w:tc>
          <w:tcPr>
            <w:tcW w:w="8212" w:type="dxa"/>
            <w:gridSpan w:val="5"/>
            <w:vAlign w:val="bottom"/>
          </w:tcPr>
          <w:p>
            <w:pPr>
              <w:spacing w:line="560" w:lineRule="exact"/>
              <w:ind w:right="640" w:firstLine="3840" w:firstLineChars="1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主治医生签字：           </w:t>
            </w:r>
          </w:p>
          <w:p>
            <w:pPr>
              <w:spacing w:line="560" w:lineRule="exact"/>
              <w:jc w:val="righ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年   月   日</w:t>
            </w:r>
          </w:p>
          <w:p>
            <w:pPr>
              <w:spacing w:line="560" w:lineRule="exact"/>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trPr>
        <w:tc>
          <w:tcPr>
            <w:tcW w:w="1642" w:type="dxa"/>
            <w:vAlign w:val="center"/>
          </w:tcPr>
          <w:p>
            <w:pPr>
              <w:spacing w:line="560" w:lineRule="exac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医院意见</w:t>
            </w:r>
          </w:p>
        </w:tc>
        <w:tc>
          <w:tcPr>
            <w:tcW w:w="8212" w:type="dxa"/>
            <w:gridSpan w:val="5"/>
            <w:vAlign w:val="bottom"/>
          </w:tcPr>
          <w:p>
            <w:pPr>
              <w:spacing w:line="560" w:lineRule="exact"/>
              <w:ind w:right="640" w:firstLine="4000" w:firstLineChars="125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负责人签字：           </w:t>
            </w:r>
          </w:p>
          <w:p>
            <w:pPr>
              <w:wordWrap w:val="0"/>
              <w:spacing w:line="560" w:lineRule="exact"/>
              <w:jc w:val="righ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年   月   日 </w:t>
            </w:r>
          </w:p>
        </w:tc>
      </w:tr>
    </w:tbl>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附件4</w:t>
      </w:r>
    </w:p>
    <w:p>
      <w:pPr>
        <w:widowControl/>
        <w:spacing w:line="560" w:lineRule="exact"/>
        <w:jc w:val="center"/>
        <w:rPr>
          <w:color w:val="000000" w:themeColor="text1"/>
        </w:rPr>
      </w:pPr>
      <w:r>
        <w:rPr>
          <w:rFonts w:ascii="方正小标宋_GBK" w:hAnsi="方正小标宋_GBK" w:eastAsia="方正小标宋_GBK" w:cs="方正小标宋_GBK"/>
          <w:color w:val="000000" w:themeColor="text1"/>
          <w:kern w:val="0"/>
          <w:sz w:val="43"/>
          <w:szCs w:val="43"/>
        </w:rPr>
        <w:t>日间病床按病种付费知情告知书</w:t>
      </w:r>
    </w:p>
    <w:p>
      <w:pPr>
        <w:spacing w:line="520" w:lineRule="exact"/>
        <w:ind w:firstLine="560" w:firstLineChars="200"/>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患者姓名</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性别</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年龄</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身份证号码</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家庭住址</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联系电话</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医疗机构名称</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治疗科室</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临床诊断</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该疾病属池州市基层医疗机构日间病床按病种付费的病种之一，医疗费定额标准为</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元，医保定额报销</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 xml:space="preserve">元。双方愿意遵守以下约定：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1.患者办理日间病床手续后，按照定额标准的付费比例，预交预付金，治疗终结后结清个人承担的医疗费用；</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2.患者该病种治愈后，应及时办理日间病床结算手续；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3.对于治疗天数未达到临床路径治疗表单规定天数70%或当次诊疗费用未达到定额标准70%的，退出日间病床按病种付费，按门诊政策执行；患者病情加重需要转科转院治疗的，经主治医生申请，医院负责人签字确认，退出日间病床付费，按普通住院医保政策报销；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4.定点医疗机构严格按照日间病床路径表单诊治患者，规范医疗服务行为，保证医疗安全和医疗质量。严禁将定额范围之内的医疗费用（如患者治疗期间到外院检查、治疗等费用）通过外购处方、分解治疗、分解支付等方式排出在定额范围之外，增加患者的负担； </w:t>
      </w:r>
    </w:p>
    <w:p>
      <w:pPr>
        <w:spacing w:line="520" w:lineRule="exact"/>
        <w:ind w:firstLine="560" w:firstLineChars="200"/>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5.本协议一式三份，医院、患者各一份，报销结算附一份。 </w:t>
      </w:r>
    </w:p>
    <w:p>
      <w:pPr>
        <w:spacing w:line="520" w:lineRule="exact"/>
        <w:ind w:firstLine="560" w:firstLineChars="200"/>
        <w:rPr>
          <w:rFonts w:ascii="仿宋_GB2312" w:hAnsi="仿宋_GB2312" w:eastAsia="仿宋_GB2312" w:cs="仿宋_GB2312"/>
          <w:color w:val="000000" w:themeColor="text1"/>
          <w:sz w:val="28"/>
          <w:szCs w:val="28"/>
        </w:rPr>
      </w:pPr>
    </w:p>
    <w:p>
      <w:pPr>
        <w:spacing w:line="520" w:lineRule="exact"/>
        <w:ind w:firstLine="560" w:firstLineChars="200"/>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患者（或家属）签字</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rPr>
      </w:pPr>
    </w:p>
    <w:p>
      <w:pPr>
        <w:spacing w:line="520" w:lineRule="exact"/>
        <w:ind w:firstLine="560" w:firstLineChars="200"/>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主治医生签字</w:t>
      </w:r>
      <w:r>
        <w:rPr>
          <w:rFonts w:hint="eastAsia" w:ascii="仿宋_GB2312" w:hAnsi="仿宋_GB2312" w:eastAsia="仿宋_GB2312" w:cs="仿宋_GB2312"/>
          <w:color w:val="000000" w:themeColor="text1"/>
          <w:sz w:val="28"/>
          <w:szCs w:val="28"/>
          <w:u w:val="single"/>
        </w:rPr>
        <w:t xml:space="preserve">                   </w:t>
      </w:r>
    </w:p>
    <w:p>
      <w:pPr>
        <w:spacing w:line="520" w:lineRule="exact"/>
        <w:ind w:firstLine="560" w:firstLineChars="200"/>
        <w:rPr>
          <w:rFonts w:ascii="仿宋_GB2312" w:hAnsi="仿宋_GB2312" w:eastAsia="仿宋_GB2312" w:cs="仿宋_GB2312"/>
          <w:color w:val="000000" w:themeColor="text1"/>
          <w:sz w:val="28"/>
          <w:szCs w:val="28"/>
        </w:rPr>
      </w:pPr>
    </w:p>
    <w:p>
      <w:pPr>
        <w:spacing w:line="520" w:lineRule="exact"/>
        <w:ind w:firstLine="560" w:firstLineChars="200"/>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科室负责人签字</w:t>
      </w:r>
      <w:r>
        <w:rPr>
          <w:rFonts w:hint="eastAsia" w:ascii="仿宋_GB2312" w:hAnsi="仿宋_GB2312" w:eastAsia="仿宋_GB2312" w:cs="仿宋_GB2312"/>
          <w:color w:val="000000" w:themeColor="text1"/>
          <w:sz w:val="28"/>
          <w:szCs w:val="28"/>
          <w:u w:val="single"/>
        </w:rPr>
        <w:t xml:space="preserve">                 </w:t>
      </w:r>
    </w:p>
    <w:p>
      <w:pPr>
        <w:spacing w:line="520" w:lineRule="exact"/>
        <w:jc w:val="right"/>
        <w:rPr>
          <w:rFonts w:ascii="仿宋_GB2312" w:hAnsi="仿宋_GB2312" w:eastAsia="仿宋_GB2312" w:cs="仿宋_GB2312"/>
          <w:color w:val="000000" w:themeColor="text1"/>
          <w:sz w:val="28"/>
          <w:szCs w:val="28"/>
        </w:rPr>
        <w:sectPr>
          <w:pgSz w:w="11850" w:h="16838"/>
          <w:pgMar w:top="1134" w:right="1134" w:bottom="1134" w:left="1134" w:header="851" w:footer="992" w:gutter="0"/>
          <w:pgNumType w:fmt="numberInDash"/>
          <w:cols w:space="0" w:num="1"/>
          <w:docGrid w:type="lines" w:linePitch="313" w:charSpace="0"/>
        </w:sectPr>
      </w:pPr>
      <w:r>
        <w:rPr>
          <w:rFonts w:hint="eastAsia" w:ascii="仿宋_GB2312" w:hAnsi="仿宋_GB2312" w:eastAsia="仿宋_GB2312" w:cs="仿宋_GB2312"/>
          <w:color w:val="000000" w:themeColor="text1"/>
          <w:sz w:val="28"/>
          <w:szCs w:val="28"/>
        </w:rPr>
        <w:t>时间：</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年</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月</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 xml:space="preserve">日 </w:t>
      </w: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附件5</w:t>
      </w:r>
    </w:p>
    <w:p>
      <w:pPr>
        <w:widowControl/>
        <w:spacing w:line="560" w:lineRule="exact"/>
        <w:jc w:val="center"/>
        <w:rPr>
          <w:color w:val="000000" w:themeColor="text1"/>
        </w:rPr>
      </w:pPr>
      <w:r>
        <w:rPr>
          <w:rFonts w:ascii="方正小标宋简体" w:hAnsi="方正小标宋简体" w:eastAsia="方正小标宋简体" w:cs="方正小标宋简体"/>
          <w:color w:val="000000" w:themeColor="text1"/>
          <w:kern w:val="0"/>
          <w:sz w:val="43"/>
          <w:szCs w:val="43"/>
        </w:rPr>
        <w:t>日间病床按病种付费治疗每日确认表</w:t>
      </w: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定点机构</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患者姓名</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身份证号码</w:t>
      </w:r>
      <w:r>
        <w:rPr>
          <w:rFonts w:hint="eastAsia" w:ascii="仿宋_GB2312" w:hAnsi="仿宋_GB2312" w:eastAsia="仿宋_GB2312" w:cs="仿宋_GB2312"/>
          <w:color w:val="000000" w:themeColor="text1"/>
          <w:sz w:val="28"/>
          <w:szCs w:val="28"/>
          <w:u w:val="single"/>
        </w:rPr>
        <w:t xml:space="preserve">                        </w:t>
      </w: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联系电话</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临床诊断</w:t>
      </w:r>
      <w:r>
        <w:rPr>
          <w:rFonts w:hint="eastAsia" w:ascii="仿宋_GB2312" w:hAnsi="仿宋_GB2312" w:eastAsia="仿宋_GB2312" w:cs="仿宋_GB2312"/>
          <w:color w:val="000000" w:themeColor="text1"/>
          <w:sz w:val="28"/>
          <w:szCs w:val="28"/>
          <w:u w:val="single"/>
        </w:rPr>
        <w:t xml:space="preserve">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8"/>
        <w:gridCol w:w="1848"/>
        <w:gridCol w:w="1848"/>
        <w:gridCol w:w="1848"/>
        <w:gridCol w:w="1848"/>
        <w:gridCol w:w="1848"/>
        <w:gridCol w:w="1849"/>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住院床日</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第1天</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第2天</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第3天</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第4天</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第5天</w:t>
            </w: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第6天</w:t>
            </w: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第7天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日期</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检查项目</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48" w:type="dxa"/>
            <w:vMerge w:val="restart"/>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治疗医嘱</w:t>
            </w: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Merge w:val="continue"/>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Merge w:val="continue"/>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8" w:type="dxa"/>
            <w:vMerge w:val="continue"/>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48" w:type="dxa"/>
            <w:vMerge w:val="continue"/>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8"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c>
          <w:tcPr>
            <w:tcW w:w="1849" w:type="dxa"/>
            <w:vAlign w:val="center"/>
          </w:tcPr>
          <w:p>
            <w:pPr>
              <w:spacing w:line="560" w:lineRule="exact"/>
              <w:jc w:val="center"/>
              <w:rPr>
                <w:rFonts w:ascii="仿宋_GB2312" w:hAnsi="仿宋_GB2312" w:eastAsia="仿宋_GB2312" w:cs="仿宋_GB2312"/>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1848" w:type="dxa"/>
            <w:vAlign w:val="center"/>
          </w:tcPr>
          <w:p>
            <w:pPr>
              <w:spacing w:line="560" w:lineRule="exact"/>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治疗情况</w:t>
            </w:r>
          </w:p>
        </w:tc>
        <w:tc>
          <w:tcPr>
            <w:tcW w:w="1848"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8"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8"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8"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8"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9"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c>
          <w:tcPr>
            <w:tcW w:w="1849" w:type="dxa"/>
            <w:vAlign w:val="center"/>
          </w:tcPr>
          <w:p>
            <w:pPr>
              <w:spacing w:line="400" w:lineRule="exact"/>
              <w:jc w:val="center"/>
              <w:rPr>
                <w:rFonts w:ascii="仿宋_GB2312" w:hAnsi="仿宋_GB2312" w:eastAsia="仿宋_GB2312" w:cs="仿宋_GB2312"/>
                <w:color w:val="000000" w:themeColor="text1"/>
                <w:sz w:val="24"/>
              </w:rPr>
            </w:pPr>
            <w:r>
              <w:rPr>
                <w:rFonts w:ascii="仿宋_GB2312" w:hAnsi="仿宋_GB2312" w:eastAsia="仿宋_GB2312" w:cs="仿宋_GB2312"/>
                <w:color w:val="000000" w:themeColor="text1"/>
                <w:sz w:val="24"/>
              </w:rPr>
              <w:t>以上治疗</w:t>
            </w:r>
            <w:r>
              <w:rPr>
                <w:rFonts w:hint="eastAsia" w:ascii="仿宋_GB2312" w:hAnsi="仿宋_GB2312" w:eastAsia="仿宋_GB2312" w:cs="仿宋_GB2312"/>
                <w:color w:val="000000" w:themeColor="text1"/>
                <w:sz w:val="24"/>
              </w:rPr>
              <w:t>已</w:t>
            </w:r>
            <w:r>
              <w:rPr>
                <w:rFonts w:ascii="仿宋_GB2312" w:hAnsi="仿宋_GB2312" w:eastAsia="仿宋_GB2312" w:cs="仿宋_GB2312"/>
                <w:color w:val="000000" w:themeColor="text1"/>
                <w:sz w:val="24"/>
              </w:rPr>
              <w:t>享受，患者签名：</w:t>
            </w:r>
          </w:p>
        </w:tc>
      </w:tr>
    </w:tbl>
    <w:p>
      <w:pPr>
        <w:spacing w:line="560" w:lineRule="exact"/>
        <w:rPr>
          <w:rFonts w:ascii="仿宋_GB2312" w:hAnsi="仿宋_GB2312" w:eastAsia="仿宋_GB2312" w:cs="仿宋_GB2312"/>
          <w:color w:val="000000" w:themeColor="text1"/>
          <w:sz w:val="28"/>
          <w:szCs w:val="28"/>
        </w:rPr>
        <w:sectPr>
          <w:pgSz w:w="16838" w:h="11850" w:orient="landscape"/>
          <w:pgMar w:top="1134" w:right="1134" w:bottom="1020" w:left="1134" w:header="851" w:footer="992" w:gutter="0"/>
          <w:pgNumType w:fmt="numberInDash"/>
          <w:cols w:space="0" w:num="1"/>
          <w:docGrid w:type="lines" w:linePitch="313" w:charSpace="0"/>
        </w:sectPr>
      </w:pPr>
      <w:r>
        <w:rPr>
          <w:rFonts w:ascii="仿宋_GB2312" w:hAnsi="仿宋_GB2312" w:eastAsia="仿宋_GB2312" w:cs="仿宋_GB2312"/>
          <w:color w:val="000000" w:themeColor="text1"/>
          <w:sz w:val="28"/>
          <w:szCs w:val="28"/>
        </w:rPr>
        <w:t xml:space="preserve">本确认表作为日间治疗按病种付费治疗的重要依据， 医护人员需在患者每日治疗结束后签字确认，不得提前签字和补签。 </w:t>
      </w:r>
    </w:p>
    <w:p>
      <w:pPr>
        <w:spacing w:line="600" w:lineRule="exact"/>
        <w:jc w:val="left"/>
        <w:rPr>
          <w:rFonts w:ascii="仿宋_GB2312" w:hAnsi="仿宋_GB2312" w:eastAsia="仿宋_GB2312" w:cs="仿宋_GB2312"/>
          <w:bCs/>
          <w:color w:val="000000" w:themeColor="text1"/>
          <w:sz w:val="28"/>
          <w:szCs w:val="28"/>
        </w:rPr>
      </w:pPr>
      <w:r>
        <w:rPr>
          <w:rFonts w:hint="eastAsia" w:ascii="仿宋_GB2312" w:hAnsi="仿宋_GB2312" w:eastAsia="仿宋_GB2312" w:cs="仿宋_GB2312"/>
          <w:bCs/>
          <w:color w:val="000000" w:themeColor="text1"/>
          <w:sz w:val="28"/>
          <w:szCs w:val="28"/>
        </w:rPr>
        <w:t>附件6</w:t>
      </w:r>
    </w:p>
    <w:p>
      <w:pPr>
        <w:spacing w:line="600" w:lineRule="exact"/>
        <w:jc w:val="center"/>
        <w:rPr>
          <w:rFonts w:ascii="方正小标宋简体" w:hAnsi="方正小标宋简体" w:eastAsia="方正小标宋简体" w:cs="方正小标宋简体"/>
          <w:bCs/>
          <w:color w:val="000000" w:themeColor="text1"/>
          <w:sz w:val="44"/>
          <w:szCs w:val="44"/>
        </w:rPr>
      </w:pPr>
      <w:r>
        <w:rPr>
          <w:rFonts w:hint="eastAsia" w:ascii="方正小标宋简体" w:hAnsi="方正小标宋简体" w:eastAsia="方正小标宋简体" w:cs="方正小标宋简体"/>
          <w:bCs/>
          <w:color w:val="000000" w:themeColor="text1"/>
          <w:sz w:val="44"/>
          <w:szCs w:val="44"/>
        </w:rPr>
        <w:t>日间病床按病种付费病种</w:t>
      </w:r>
    </w:p>
    <w:p>
      <w:pPr>
        <w:spacing w:line="600" w:lineRule="exact"/>
        <w:jc w:val="center"/>
        <w:rPr>
          <w:rFonts w:ascii="方正小标宋简体" w:hAnsi="方正小标宋简体" w:eastAsia="方正小标宋简体" w:cs="方正小标宋简体"/>
          <w:bCs/>
          <w:color w:val="000000" w:themeColor="text1"/>
          <w:sz w:val="44"/>
          <w:szCs w:val="44"/>
        </w:rPr>
      </w:pPr>
      <w:r>
        <w:rPr>
          <w:rFonts w:hint="eastAsia" w:ascii="方正小标宋简体" w:hAnsi="方正小标宋简体" w:eastAsia="方正小标宋简体" w:cs="方正小标宋简体"/>
          <w:bCs/>
          <w:color w:val="000000" w:themeColor="text1"/>
          <w:sz w:val="44"/>
          <w:szCs w:val="44"/>
        </w:rPr>
        <w:t>临床路径表单（中医）</w:t>
      </w:r>
    </w:p>
    <w:p>
      <w:pPr>
        <w:spacing w:line="600" w:lineRule="exact"/>
        <w:rPr>
          <w:rFonts w:ascii="方正小标宋简体" w:hAnsi="方正小标宋简体" w:eastAsia="方正小标宋简体" w:cs="方正小标宋简体"/>
          <w:bCs/>
          <w:color w:val="000000" w:themeColor="text1"/>
          <w:sz w:val="36"/>
          <w:szCs w:val="36"/>
        </w:rPr>
      </w:pPr>
    </w:p>
    <w:p>
      <w:pPr>
        <w:spacing w:line="400" w:lineRule="exact"/>
        <w:rPr>
          <w:rFonts w:ascii="黑体" w:hAnsi="黑体" w:eastAsia="黑体" w:cs="方正小标宋简体"/>
          <w:bCs/>
          <w:color w:val="000000" w:themeColor="text1"/>
          <w:sz w:val="36"/>
          <w:szCs w:val="36"/>
        </w:rPr>
      </w:pPr>
      <w:r>
        <w:rPr>
          <w:rFonts w:hint="eastAsia" w:ascii="黑体" w:hAnsi="黑体" w:eastAsia="黑体" w:cs="方正小标宋简体"/>
          <w:bCs/>
          <w:color w:val="000000" w:themeColor="text1"/>
          <w:sz w:val="36"/>
          <w:szCs w:val="36"/>
        </w:rPr>
        <w:t>1.腰痛病(腰椎间盘突出)</w:t>
      </w:r>
    </w:p>
    <w:p>
      <w:pPr>
        <w:spacing w:line="400" w:lineRule="exact"/>
        <w:jc w:val="center"/>
        <w:rPr>
          <w:rFonts w:ascii="仿宋_GB2312" w:hAnsi="方正小标宋简体" w:eastAsia="仿宋_GB2312" w:cs="方正小标宋简体"/>
          <w:b/>
          <w:bCs/>
          <w:color w:val="000000" w:themeColor="text1"/>
          <w:sz w:val="32"/>
          <w:szCs w:val="32"/>
        </w:rPr>
      </w:pPr>
    </w:p>
    <w:p>
      <w:pPr>
        <w:spacing w:line="400" w:lineRule="exact"/>
        <w:jc w:val="center"/>
        <w:rPr>
          <w:rFonts w:ascii="仿宋_GB2312" w:hAnsi="Times New Roman" w:eastAsia="仿宋_GB2312" w:cs="Times New Roman"/>
          <w:b/>
          <w:color w:val="000000" w:themeColor="text1"/>
          <w:sz w:val="32"/>
          <w:szCs w:val="32"/>
        </w:rPr>
      </w:pPr>
      <w:r>
        <w:rPr>
          <w:rFonts w:hint="eastAsia" w:ascii="仿宋_GB2312" w:hAnsi="方正小标宋简体" w:eastAsia="仿宋_GB2312" w:cs="方正小标宋简体"/>
          <w:b/>
          <w:bCs/>
          <w:color w:val="000000" w:themeColor="text1"/>
          <w:sz w:val="32"/>
          <w:szCs w:val="32"/>
        </w:rPr>
        <w:t>一、临床路径标准治疗流程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路径说明：本路径适用于西医诊断为腰椎间盘突出症的住院患者。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一、腰椎间盘突出症中医实施性临床路径标准住院流程</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（一）适用对象</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诊断：腰椎间盘突出症（ICD-10编码：M51.202）。</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（二）诊断依据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1.疾病诊断</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（1）中医诊断：参照1994年国家中医药管理局发布的中华人民共和国行业标准《中医病证诊断疗效标准》（YZ/T001.9-94）。</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（2）西医诊断：参照《临床诊疗指南一骨科分册》（中华医学会编著，人民卫生出版社，2009年）。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2.疾病分期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（1）急性期：腰腿痛剧烈，活动受限明显，不能站立、行走，肌肉痉挛。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（2）缓解期：腰腿疼痛缓解，活动好转，但仍有痹痛，不耐劳。</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（3）康复期：腰腿病症状基本消失，但有腰腿乏力，不能长时站立、行走。</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3.证候诊断</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参照国家中医药管理局重点专科协作组制定的《腰椎间盘突出症中医诊疗方案（试行）》。</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腰椎间盘突出症临床常见证型：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1.血瘀气滞证：近期腰部有外伤史，腰腿痛剧烈，痛有定处，刺痛，腰部僵硬，俯仰活动艰难，痛处拒按，舌质暗紫，或有瘀斑，舌苔薄白或薄黄，脉沉涩或脉弦。</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2.寒湿痹阻证：腰腿部冷痛重着，转侧不利，痛有定处，虽静卧亦不减或反而加重，日轻夜重，遇寒痛增，得热则减。舌质胖淡，苔白腻，脉弦紧、弦缓或沉紧。</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3.湿热痹阻证：腰筋腿痛，痛处伴有热感，或见肢节红肿，口渴不欲饮，苔黄腻，脉濡数或滑数。</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肝肾亏虚：腰腿痛缠绵日久，反复发作，乏力、不耐劳，劳则加重，卧则减轻；包括肝肾阴虚及肝肾阳虚证。阴虚证症见:心烦失眠，口苦咽干，舌红少津，脉弦细而数。阳虚证症见:四肢不温，行寒畏冷，筋脉拘挛，舌质淡胖，脉沉细无力等症。</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（三）治疗方案的选择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参照国家中医药管理重点专科协作组制定的《腰椎间盘突出症中医诊疗方案（试行）》。</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1.诊断明确，第一诊断为腰椎间盘突出症。</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2.患者适合并接受中医治疗。</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（四）标准住院日</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≤20天。</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（五）加入路径标准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1.第一诊断必须符合腰椎间盘突出症（TCD编码：BNS050、ICD-10编码：M51.202）。</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2.患者同时并发其他疾病，但在治疗期间无需特殊处理，也不影响第一诊断的临床路径流程实施时，可以进入本路径。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3.有以下情况者不能进入本路径。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（1）有明确手术指征者；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（2）合并严重发育性椎管狭窄或其它严重畸形者；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（3）体质较弱，或者孕妇等；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（4）患有严重心脏病、高血压、肝肾等疾病患者；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（5）体表皮肤破损、溃烂或皮肤病患者；有出血倾向的血液病患者。</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（六）中医证候学观察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四诊合参，收集该病种不同证候的主症、次症、舌、脉特点，注意证候动态变化。</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（七）入院检查项目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1.必需的检查项目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（1）腰椎正侧位及功能位X线片、腰椎CT或腰椎MRI。</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（2）血常规、尿常规、粪常规。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（3）肝功能、肾功能、血糖、血沉、风湿三项（RF、ASO、Hs-CRP）。</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（4）心电图。</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（5）胸部X线片。</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2.可选择的检查项目：根据病情需要而定，如血脂、血电解质、腰椎管造影、肌电图、骨密度等。</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（八）治疗方法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1.手法治疗</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（1）松解类手法：如循经按揉法、掌根直推法、弹拨搓揉法、</w:t>
      </w:r>
      <w:r>
        <w:rPr>
          <w:rFonts w:hint="eastAsia" w:ascii="仿宋_GB2312" w:hAnsi="仿宋_GB2312" w:eastAsia="仿宋_GB2312" w:cs="仿宋_GB2312"/>
          <w:color w:val="000000" w:themeColor="text1"/>
          <w:spacing w:val="-40"/>
          <w:w w:val="80"/>
          <w:sz w:val="24"/>
        </w:rPr>
        <w:t>扌</w:t>
      </w:r>
      <w:r>
        <w:rPr>
          <w:rFonts w:hint="eastAsia" w:ascii="仿宋_GB2312" w:hAnsi="仿宋_GB2312" w:eastAsia="仿宋_GB2312" w:cs="仿宋_GB2312"/>
          <w:color w:val="000000" w:themeColor="text1"/>
          <w:spacing w:val="-40"/>
          <w:w w:val="90"/>
          <w:sz w:val="24"/>
        </w:rPr>
        <w:t xml:space="preserve">衮 </w:t>
      </w:r>
      <w:r>
        <w:rPr>
          <w:rFonts w:hint="eastAsia" w:ascii="仿宋_GB2312" w:hAnsi="仿宋_GB2312" w:eastAsia="仿宋_GB2312" w:cs="仿宋_GB2312"/>
          <w:color w:val="000000" w:themeColor="text1"/>
          <w:sz w:val="24"/>
        </w:rPr>
        <w:t xml:space="preserve"> 揉舒筋法等。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（2）整复类手法：如俯卧拔伸法、斜扳腰椎法、牵引按压法、腰椎旋转扳法等。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（3）结束</w:t>
      </w:r>
      <w:r>
        <w:rPr>
          <w:rFonts w:hint="eastAsia" w:ascii="仿宋_GB2312" w:hAnsi="仿宋_GB2312" w:eastAsia="仿宋_GB2312" w:cs="仿宋_GB2312"/>
          <w:color w:val="000000" w:themeColor="text1"/>
          <w:kern w:val="0"/>
          <w:sz w:val="24"/>
        </w:rPr>
        <w:t>类</w:t>
      </w:r>
      <w:r>
        <w:rPr>
          <w:rFonts w:hint="eastAsia" w:ascii="仿宋_GB2312" w:hAnsi="仿宋_GB2312" w:eastAsia="仿宋_GB2312" w:cs="仿宋_GB2312"/>
          <w:color w:val="000000" w:themeColor="text1"/>
          <w:sz w:val="24"/>
        </w:rPr>
        <w:t>手法：如揉擦法、拍打法、拍揉法等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2.辩证选择中药汤剂</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（1）血瘀气滞证</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治法：活血祛瘀，行气止痛。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方药：身痛逐瘀汤加减。川芎、当归、五灵脂、香附、甘草、羌活、没药、牛膝、秦艽、桃红、红花、地龙等。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（2）寒湿痹阻证</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治法：温经散寒，祛湿通络。</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方药：独活寄生汤加减。独活、桑寄生、杜仲、牛膝、党参、当归、熟地黄、白芍、川芍、桂枝、茯苓、细辛、防风、秦艽、蜈蚣、乌梢蛇等。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（3）湿热痹阻证</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治法：清利湿热，</w:t>
      </w:r>
      <w:r>
        <w:rPr>
          <w:rFonts w:hint="eastAsia" w:ascii="仿宋_GB2312" w:hAnsi="仿宋_GB2312" w:eastAsia="仿宋_GB2312" w:cs="仿宋_GB2312"/>
          <w:color w:val="000000" w:themeColor="text1"/>
          <w:spacing w:val="8"/>
          <w:sz w:val="24"/>
        </w:rPr>
        <w:t>通络止痛</w:t>
      </w:r>
      <w:r>
        <w:rPr>
          <w:rFonts w:hint="eastAsia" w:ascii="仿宋_GB2312" w:hAnsi="仿宋_GB2312" w:eastAsia="仿宋_GB2312" w:cs="仿宋_GB2312"/>
          <w:color w:val="000000" w:themeColor="text1"/>
          <w:sz w:val="24"/>
        </w:rPr>
        <w:t>。</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方药：</w:t>
      </w:r>
      <w:r>
        <w:rPr>
          <w:rFonts w:hint="eastAsia" w:ascii="仿宋_GB2312" w:hAnsi="仿宋_GB2312" w:eastAsia="仿宋_GB2312" w:cs="仿宋_GB2312"/>
          <w:color w:val="000000" w:themeColor="text1"/>
          <w:spacing w:val="8"/>
          <w:sz w:val="24"/>
        </w:rPr>
        <w:t>大秦</w:t>
      </w:r>
      <w:r>
        <w:rPr>
          <w:rFonts w:hint="eastAsia" w:ascii="仿宋_GB2312" w:hAnsi="仿宋_GB2312" w:eastAsia="仿宋_GB2312" w:cs="仿宋_GB2312"/>
          <w:color w:val="000000" w:themeColor="text1"/>
          <w:sz w:val="24"/>
        </w:rPr>
        <w:t>艽汤加减</w:t>
      </w:r>
      <w:r>
        <w:rPr>
          <w:rFonts w:hint="eastAsia" w:ascii="仿宋_GB2312" w:hAnsi="仿宋_GB2312" w:eastAsia="仿宋_GB2312" w:cs="仿宋_GB2312"/>
          <w:color w:val="000000" w:themeColor="text1"/>
          <w:spacing w:val="8"/>
          <w:sz w:val="24"/>
        </w:rPr>
        <w:t>。</w:t>
      </w:r>
      <w:r>
        <w:rPr>
          <w:rFonts w:hint="eastAsia" w:ascii="仿宋_GB2312" w:hAnsi="仿宋_GB2312" w:eastAsia="仿宋_GB2312" w:cs="仿宋_GB2312"/>
          <w:color w:val="000000" w:themeColor="text1"/>
          <w:sz w:val="24"/>
        </w:rPr>
        <w:t>川芎、独活、当归、白芍、地龙、甘草、秦艽、羌活、防风、白芷、黄芩、白术、茯苓、生地、熟地等。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（4）肝肾亏虚证</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治法：补益肝肾，通络止痛。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阳虚证，方药：右归丸加减。山药、山萸肉、杜仲、附子、桂枝、枸杞子、鹿角胶、当归、川芎、狗脊、牛膝、川断、桑寄生、菟丝子等。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阴虚证，方药：虎潜丸加减。知母、黄柏、熟地、锁阳、龟甲、白芍、牛膝、陈皮、当归、狗脊等。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辨证选择中成药：如活血止痛胶囊、大活络胶囊、盘龙七片、祛风止痛胶囊、根痛平胶囊、益肾健骨片、仙灵骨葆胶囊、金天格胶囊等；丹参粉针、红花、丹红、川芎嗪、灯盏花素注射液等静滴。或辨证施用院内制剂。</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4.辩证选择中药外治：如外敷、敷贴、中药熏蒸等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5.腰椎牵引治疗：平牵引、三维多功能牵引等牵引方式。</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6.针灸治疗：</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（1）辨证选择体针：主穴；配穴；辨证加减；手法操作：可加用电针。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（2）腹针：取穴；手法操作；</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（3）平衡针：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（4）头针：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（5）灸法：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（6）耳压疗法：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（7）针刀疗法：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7.物理治疗：激光红外线照射、蜡疗、中药离子导入、电脑中频、电磁疗法、神灯、超声理疗等。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8.运动疗法：游泳、仰卧桥运动式、飞燕式、五禽戏等方法。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9.对症治疗：在急性期根据疼痛程度，选择性使用脱水、止痛、消除神经根炎症等药物。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10.护理：辨证施护。</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（九）出院标准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1.腰部及下肢痹痛症状和体征消失或明显好转。</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2.日常生活及工作能力基本恢复。</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3.没有需要住院治疗的并发症。</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4.按照JOA评价标准：治疗改善率≥50%。</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（十）变异及原因分析</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1.治疗过程中病情进一步加重，出现下肢放射痛或麻木加重，需要延长住院时间，增加住院费用。</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2.合并有其他系统疾病者，住院期间病情加重，需要特殊处理，导致住院时间延长、费用增加，退出本路径。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3.出现下肢神经明显损伤等并发症，需要特殊处理，退出本路径。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4.因患者及其家属意愿而影响本路径的执行，退行本路径。</w:t>
      </w:r>
    </w:p>
    <w:p>
      <w:pPr>
        <w:jc w:val="center"/>
        <w:rPr>
          <w:rFonts w:ascii="方正小标宋简体" w:hAnsi="方正小标宋简体" w:eastAsia="方正小标宋简体" w:cs="方正小标宋简体"/>
          <w:bCs/>
          <w:color w:val="000000" w:themeColor="text1"/>
          <w:sz w:val="36"/>
          <w:szCs w:val="36"/>
        </w:rPr>
        <w:sectPr>
          <w:headerReference r:id="rId4" w:type="default"/>
          <w:footerReference r:id="rId5" w:type="default"/>
          <w:footerReference r:id="rId6" w:type="even"/>
          <w:pgSz w:w="11850" w:h="16838"/>
          <w:pgMar w:top="1984" w:right="1587" w:bottom="1984" w:left="1587" w:header="851" w:footer="992" w:gutter="0"/>
          <w:pgNumType w:fmt="numberInDash"/>
          <w:cols w:space="720" w:num="1"/>
          <w:docGrid w:type="lines" w:linePitch="312" w:charSpace="0"/>
        </w:sectPr>
      </w:pPr>
    </w:p>
    <w:p>
      <w:pPr>
        <w:jc w:val="center"/>
        <w:rPr>
          <w:rFonts w:ascii="仿宋_GB2312" w:hAnsi="方正小标宋简体" w:eastAsia="仿宋_GB2312" w:cs="方正小标宋简体"/>
          <w:b/>
          <w:bCs/>
          <w:color w:val="000000" w:themeColor="text1"/>
          <w:sz w:val="32"/>
          <w:szCs w:val="32"/>
        </w:rPr>
      </w:pPr>
      <w:r>
        <w:rPr>
          <w:rFonts w:hint="eastAsia" w:ascii="仿宋_GB2312" w:hAnsi="方正小标宋简体" w:eastAsia="仿宋_GB2312" w:cs="方正小标宋简体"/>
          <w:b/>
          <w:bCs/>
          <w:color w:val="000000" w:themeColor="text1"/>
          <w:sz w:val="32"/>
          <w:szCs w:val="32"/>
        </w:rPr>
        <w:t>二、腰痛病(腰椎间盘突出)日间病床临床路径表单</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适用对象：腰椎间盘突出症（ICD-10编码：M51.202）</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标准住院日：≤20天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3416"/>
        <w:gridCol w:w="3405"/>
        <w:gridCol w:w="3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时间</w:t>
            </w:r>
          </w:p>
        </w:tc>
        <w:tc>
          <w:tcPr>
            <w:tcW w:w="3416"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（第1天）</w:t>
            </w:r>
          </w:p>
        </w:tc>
        <w:tc>
          <w:tcPr>
            <w:tcW w:w="3405"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（第2-3天）</w:t>
            </w:r>
          </w:p>
        </w:tc>
        <w:tc>
          <w:tcPr>
            <w:tcW w:w="3160"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（第4-7天）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主要</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诊疗</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工作</w:t>
            </w:r>
          </w:p>
        </w:tc>
        <w:tc>
          <w:tcPr>
            <w:tcW w:w="3416" w:type="dxa"/>
            <w:noWrap/>
            <w:vAlign w:val="center"/>
          </w:tcPr>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□询问病史与体格检查</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□采集中医四诊信息</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□进行中医证候判断</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□完成病历书写和病程记录</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□初步拟定诊疗方案</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□完善辅助检查</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□密切观察基础疾病必要时请专科会诊</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□与家属沟通，交代病情及注意事项</w:t>
            </w:r>
          </w:p>
        </w:tc>
        <w:tc>
          <w:tcPr>
            <w:tcW w:w="3405"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□采集中医四诊信息</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□进行中医证候判断</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□完成病历书写和病程记录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□注意防治并发症</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□上级医师查房：进一步明确诊断，调整或补充诊疗方案</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□完善入院检查</w:t>
            </w:r>
          </w:p>
          <w:p>
            <w:pPr>
              <w:rPr>
                <w:rFonts w:ascii="仿宋_GB2312" w:hAnsi="Times New Roman" w:eastAsia="仿宋_GB2312" w:cs="Times New Roman"/>
                <w:color w:val="000000" w:themeColor="text1"/>
                <w:szCs w:val="21"/>
              </w:rPr>
            </w:pPr>
          </w:p>
        </w:tc>
        <w:tc>
          <w:tcPr>
            <w:tcW w:w="3160"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□上级医师查房明确诊断及诊疗评估。</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□完成上级医师查房记录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□采集中医四诊信息</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□进行中医证候判断</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□注意防治并发症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0" w:hRule="atLeast"/>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重点</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医嘱</w:t>
            </w:r>
          </w:p>
        </w:tc>
        <w:tc>
          <w:tcPr>
            <w:tcW w:w="3416" w:type="dxa"/>
            <w:noWrap/>
            <w:vAlign w:val="center"/>
          </w:tcPr>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□专科护理常规</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□分级护理</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□饮食调摄</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□辨证施治：</w:t>
            </w:r>
          </w:p>
          <w:p>
            <w:pPr>
              <w:ind w:firstLine="105" w:firstLineChars="5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□中药汤剂：</w:t>
            </w:r>
          </w:p>
          <w:p>
            <w:pPr>
              <w:ind w:firstLine="105" w:firstLineChars="5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□中成药：</w:t>
            </w:r>
          </w:p>
          <w:p>
            <w:pPr>
              <w:ind w:firstLine="105" w:firstLineChars="5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□中药外治：</w:t>
            </w:r>
          </w:p>
          <w:p>
            <w:pPr>
              <w:ind w:firstLine="105" w:firstLineChars="5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□手法治疗</w:t>
            </w:r>
          </w:p>
          <w:p>
            <w:pPr>
              <w:ind w:firstLine="210" w:firstLineChars="10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□松解类手法：</w:t>
            </w:r>
          </w:p>
          <w:p>
            <w:pPr>
              <w:ind w:firstLine="210" w:firstLineChars="10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□整复类手法：</w:t>
            </w:r>
          </w:p>
          <w:p>
            <w:pPr>
              <w:ind w:firstLine="210" w:firstLineChars="10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□结束类手法：</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□腰椎牵引疗法</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□物理治疗（选择1-2种）：</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□针灸治疗</w:t>
            </w:r>
          </w:p>
          <w:p>
            <w:pPr>
              <w:ind w:firstLine="210" w:firstLineChars="100"/>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□针刺  □灸法</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□血常规、尿常规、粪常规</w:t>
            </w:r>
          </w:p>
          <w:p>
            <w:pPr>
              <w:spacing w:line="220" w:lineRule="exact"/>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□肝功能、肾功能、血糖</w:t>
            </w:r>
          </w:p>
          <w:p>
            <w:pPr>
              <w:spacing w:line="220" w:lineRule="exact"/>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□血沉、风湿三项</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□心电图   □胸部X线片</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□腰椎X线片、CT或MRI</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□其他检查（选择选查项目）</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□必要时相关科室会诊</w:t>
            </w:r>
          </w:p>
          <w:p>
            <w:pPr>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tc>
        <w:tc>
          <w:tcPr>
            <w:tcW w:w="3405"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□专科护理常规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□分级护理</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□饮食调摄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□辨证施治：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□中药汤剂：</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□中成药：</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□中药外治：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□手法治疗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□松解类手法：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□整复类手法：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□结束类手法：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□腰椎牵引疗法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□物理治疗（选择1-2种）：</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□针灸治疗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□针刺  □灸法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□必要时相关科室会诊</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tc>
        <w:tc>
          <w:tcPr>
            <w:tcW w:w="3160"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□专科护理常规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□分级护理</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□饮食调摄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□辨证施治：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□中药汤剂：</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□中成药：</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□中药外治：</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□手法治疗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□松解类手法：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□整复类手法：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□结束类手法：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□腰椎牵引疗法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□物理治疗（选择1-2种）：</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□针灸治疗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□针刺  □灸法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□必要时复查异常项目</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□必要时相关科室会诊</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护理</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工作</w:t>
            </w:r>
          </w:p>
        </w:tc>
        <w:tc>
          <w:tcPr>
            <w:tcW w:w="3416" w:type="dxa"/>
            <w:noWrap/>
            <w:vAlign w:val="center"/>
          </w:tcPr>
          <w:p>
            <w:pPr>
              <w:spacing w:line="220" w:lineRule="exact"/>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□介绍床位医生、护士长、责任护士</w:t>
            </w:r>
          </w:p>
          <w:p>
            <w:pPr>
              <w:spacing w:line="220" w:lineRule="exact"/>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□入院宣教、入院评估</w:t>
            </w:r>
          </w:p>
          <w:p>
            <w:pPr>
              <w:spacing w:line="220" w:lineRule="exact"/>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□说明检查内容、目的及注意事项</w:t>
            </w:r>
          </w:p>
          <w:p>
            <w:pPr>
              <w:tabs>
                <w:tab w:val="left" w:pos="0"/>
                <w:tab w:val="left" w:pos="502"/>
              </w:tabs>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□饮食指导口用药指导</w:t>
            </w:r>
          </w:p>
          <w:p>
            <w:pPr>
              <w:tabs>
                <w:tab w:val="left" w:pos="263"/>
                <w:tab w:val="left" w:pos="502"/>
              </w:tabs>
              <w:jc w:val="left"/>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□遵医嘱完成治疗护理工作</w:t>
            </w:r>
          </w:p>
        </w:tc>
        <w:tc>
          <w:tcPr>
            <w:tcW w:w="3405"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□按医嘱完成护理操作、日常治疗□完成常规生命体征监测</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□功能指导训练</w:t>
            </w:r>
          </w:p>
        </w:tc>
        <w:tc>
          <w:tcPr>
            <w:tcW w:w="3160"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□按医嘱执行护理措施</w:t>
            </w:r>
          </w:p>
          <w:p>
            <w:pPr>
              <w:tabs>
                <w:tab w:val="left" w:pos="105"/>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□饮食指导</w:t>
            </w:r>
          </w:p>
          <w:p>
            <w:pPr>
              <w:tabs>
                <w:tab w:val="left" w:pos="105"/>
                <w:tab w:val="left" w:pos="502"/>
              </w:tabs>
              <w:ind w:left="-114"/>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□安抚疏导、健康教育</w:t>
            </w:r>
          </w:p>
          <w:p>
            <w:pPr>
              <w:tabs>
                <w:tab w:val="left" w:pos="502"/>
              </w:tabs>
              <w:ind w:left="-114"/>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□功能指导训练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病情</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变异</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记录</w:t>
            </w:r>
          </w:p>
        </w:tc>
        <w:tc>
          <w:tcPr>
            <w:tcW w:w="3416"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c>
          <w:tcPr>
            <w:tcW w:w="3405"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c>
          <w:tcPr>
            <w:tcW w:w="3160"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责任护士签名</w:t>
            </w:r>
          </w:p>
        </w:tc>
        <w:tc>
          <w:tcPr>
            <w:tcW w:w="3416" w:type="dxa"/>
            <w:noWrap/>
            <w:vAlign w:val="center"/>
          </w:tcPr>
          <w:p>
            <w:pPr>
              <w:jc w:val="center"/>
              <w:rPr>
                <w:rFonts w:ascii="仿宋_GB2312" w:hAnsi="Times New Roman" w:eastAsia="仿宋_GB2312" w:cs="Times New Roman"/>
                <w:color w:val="000000" w:themeColor="text1"/>
                <w:szCs w:val="21"/>
              </w:rPr>
            </w:pPr>
          </w:p>
        </w:tc>
        <w:tc>
          <w:tcPr>
            <w:tcW w:w="3405" w:type="dxa"/>
            <w:noWrap/>
            <w:vAlign w:val="center"/>
          </w:tcPr>
          <w:p>
            <w:pPr>
              <w:jc w:val="center"/>
              <w:rPr>
                <w:rFonts w:ascii="仿宋_GB2312" w:hAnsi="Times New Roman" w:eastAsia="仿宋_GB2312" w:cs="Times New Roman"/>
                <w:color w:val="000000" w:themeColor="text1"/>
                <w:szCs w:val="21"/>
              </w:rPr>
            </w:pPr>
          </w:p>
        </w:tc>
        <w:tc>
          <w:tcPr>
            <w:tcW w:w="3160" w:type="dxa"/>
            <w:noWrap/>
            <w:vAlign w:val="center"/>
          </w:tcPr>
          <w:p>
            <w:pPr>
              <w:jc w:val="center"/>
              <w:rPr>
                <w:rFonts w:ascii="仿宋_GB2312" w:hAnsi="Times New Roman" w:eastAsia="仿宋_GB2312" w:cs="Times New Roman"/>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791"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医师</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签名</w:t>
            </w:r>
          </w:p>
        </w:tc>
        <w:tc>
          <w:tcPr>
            <w:tcW w:w="3416" w:type="dxa"/>
            <w:noWrap/>
            <w:vAlign w:val="center"/>
          </w:tcPr>
          <w:p>
            <w:pPr>
              <w:jc w:val="center"/>
              <w:rPr>
                <w:rFonts w:ascii="仿宋_GB2312" w:hAnsi="Times New Roman" w:eastAsia="仿宋_GB2312" w:cs="Times New Roman"/>
                <w:color w:val="000000" w:themeColor="text1"/>
                <w:szCs w:val="21"/>
              </w:rPr>
            </w:pPr>
          </w:p>
        </w:tc>
        <w:tc>
          <w:tcPr>
            <w:tcW w:w="3405" w:type="dxa"/>
            <w:noWrap/>
            <w:vAlign w:val="center"/>
          </w:tcPr>
          <w:p>
            <w:pPr>
              <w:jc w:val="center"/>
              <w:rPr>
                <w:rFonts w:ascii="仿宋_GB2312" w:hAnsi="Times New Roman" w:eastAsia="仿宋_GB2312" w:cs="Times New Roman"/>
                <w:color w:val="000000" w:themeColor="text1"/>
                <w:szCs w:val="21"/>
              </w:rPr>
            </w:pPr>
          </w:p>
        </w:tc>
        <w:tc>
          <w:tcPr>
            <w:tcW w:w="3160" w:type="dxa"/>
            <w:noWrap/>
            <w:vAlign w:val="center"/>
          </w:tcPr>
          <w:p>
            <w:pPr>
              <w:jc w:val="center"/>
              <w:rPr>
                <w:rFonts w:ascii="仿宋_GB2312" w:hAnsi="Times New Roman" w:eastAsia="仿宋_GB2312" w:cs="Times New Roman"/>
                <w:color w:val="000000" w:themeColor="text1"/>
                <w:szCs w:val="21"/>
              </w:rPr>
            </w:pPr>
          </w:p>
        </w:tc>
      </w:tr>
    </w:tbl>
    <w:p>
      <w:pPr>
        <w:rPr>
          <w:color w:val="000000" w:themeColor="text1"/>
        </w:rPr>
        <w:sectPr>
          <w:pgSz w:w="11850" w:h="16838"/>
          <w:pgMar w:top="1134" w:right="1134" w:bottom="1134" w:left="1134" w:header="851" w:footer="992" w:gutter="0"/>
          <w:pgNumType w:fmt="numberInDash"/>
          <w:cols w:space="720" w:num="1"/>
          <w:docGrid w:type="lines" w:linePitch="312" w:charSpace="0"/>
        </w:sectPr>
      </w:pPr>
    </w:p>
    <w:tbl>
      <w:tblPr>
        <w:tblStyle w:val="10"/>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3416"/>
        <w:gridCol w:w="3405"/>
        <w:gridCol w:w="3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时间</w:t>
            </w:r>
          </w:p>
        </w:tc>
        <w:tc>
          <w:tcPr>
            <w:tcW w:w="3019"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（第7天）</w:t>
            </w:r>
          </w:p>
        </w:tc>
        <w:tc>
          <w:tcPr>
            <w:tcW w:w="3009"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（第8-21天）</w:t>
            </w:r>
          </w:p>
        </w:tc>
        <w:tc>
          <w:tcPr>
            <w:tcW w:w="2792"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（出院日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主</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要</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诊</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疗</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工</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作</w:t>
            </w:r>
          </w:p>
        </w:tc>
        <w:tc>
          <w:tcPr>
            <w:tcW w:w="3019"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□分析评估临床治疗效果</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□上级医师查房作出进一步的诊疗评估</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□根据患者病情变化及时调整治疗方案</w:t>
            </w:r>
          </w:p>
          <w:p>
            <w:pPr>
              <w:rPr>
                <w:rFonts w:ascii="仿宋_GB2312" w:hAnsi="Times New Roman" w:eastAsia="仿宋_GB2312" w:cs="Times New Roman"/>
                <w:color w:val="000000" w:themeColor="text1"/>
                <w:szCs w:val="21"/>
              </w:rPr>
            </w:pPr>
          </w:p>
        </w:tc>
        <w:tc>
          <w:tcPr>
            <w:tcW w:w="3009"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□根据患者病情变化及时调整治疗方案</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□运动疗法</w:t>
            </w:r>
          </w:p>
        </w:tc>
        <w:tc>
          <w:tcPr>
            <w:tcW w:w="2792"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□交代出院注意事项、复查日期</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□完成出院记录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□通知出院</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□制定康复计划，指导患者出院后功能锻炼</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□出具出院诊断书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9" w:hRule="atLeast"/>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重</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点</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医</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嘱</w:t>
            </w:r>
          </w:p>
        </w:tc>
        <w:tc>
          <w:tcPr>
            <w:tcW w:w="3019"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□专科护理常规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□分级护理</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□饮食调摄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□辨证施治：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□中药汤剂：</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□中成药：</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□中药外治：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□手法治疗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□松解类手法：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□整复类手法：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□结束类手法：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□腰椎牵引疗法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□物理治疗（选择1~2种）：</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□针灸治疗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□针刺  □灸法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□复查相关检查</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□必要时相关科室会诊</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tc>
        <w:tc>
          <w:tcPr>
            <w:tcW w:w="3009"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□专科护理常规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□分级护理</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□饮食调摄</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□辨证施治：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□中药汤剂：</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□中成药：</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□中药外治：</w:t>
            </w:r>
          </w:p>
          <w:p>
            <w:pPr>
              <w:ind w:firstLine="105" w:firstLineChars="5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□手法治疗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□松解类手法：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□整复类手法：</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□结束类手法：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□腰椎牵引疗法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□物理治疗（选择1~2种）：</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□针灸治疗</w:t>
            </w:r>
          </w:p>
          <w:p>
            <w:pPr>
              <w:ind w:firstLine="210" w:firstLineChars="100"/>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□针刺  □灸法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□运动疗法</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□必要时相关科室会诊</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□对症治疗</w:t>
            </w:r>
          </w:p>
        </w:tc>
        <w:tc>
          <w:tcPr>
            <w:tcW w:w="2792" w:type="dxa"/>
            <w:noWrap/>
          </w:tcPr>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□停止所有长期医嘱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临时医嘱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□开具出院医嘱</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□出院带药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护理</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工作</w:t>
            </w:r>
          </w:p>
        </w:tc>
        <w:tc>
          <w:tcPr>
            <w:tcW w:w="3019"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□按医嘱执行诊疗护理措施</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□饮食指导</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□安抚疏导、健康教育</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□功能指导训练</w:t>
            </w:r>
          </w:p>
        </w:tc>
        <w:tc>
          <w:tcPr>
            <w:tcW w:w="3009"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□按医嘱执行诊疗护理措施</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□饮食指导</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□安抚疏导、健康教育</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□功能指导训练</w:t>
            </w:r>
          </w:p>
        </w:tc>
        <w:tc>
          <w:tcPr>
            <w:tcW w:w="2792"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□协助办理出院手续</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□送病人出院</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□交代出院后注意事项</w:t>
            </w:r>
          </w:p>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□功能指导训练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病情</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变异</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记录</w:t>
            </w:r>
          </w:p>
        </w:tc>
        <w:tc>
          <w:tcPr>
            <w:tcW w:w="3019"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c>
          <w:tcPr>
            <w:tcW w:w="3009"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c>
          <w:tcPr>
            <w:tcW w:w="2792" w:type="dxa"/>
            <w:noWrap/>
          </w:tcPr>
          <w:p>
            <w:pPr>
              <w:tabs>
                <w:tab w:val="left" w:pos="502"/>
              </w:tabs>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□无    □有，原因：</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1．</w:t>
            </w:r>
          </w:p>
          <w:p>
            <w:pP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责任护士签名</w:t>
            </w:r>
          </w:p>
        </w:tc>
        <w:tc>
          <w:tcPr>
            <w:tcW w:w="3019" w:type="dxa"/>
            <w:noWrap/>
            <w:vAlign w:val="center"/>
          </w:tcPr>
          <w:p>
            <w:pPr>
              <w:jc w:val="center"/>
              <w:rPr>
                <w:rFonts w:ascii="仿宋_GB2312" w:hAnsi="Times New Roman" w:eastAsia="仿宋_GB2312" w:cs="Times New Roman"/>
                <w:color w:val="000000" w:themeColor="text1"/>
                <w:szCs w:val="21"/>
              </w:rPr>
            </w:pPr>
          </w:p>
        </w:tc>
        <w:tc>
          <w:tcPr>
            <w:tcW w:w="3009" w:type="dxa"/>
            <w:noWrap/>
            <w:vAlign w:val="center"/>
          </w:tcPr>
          <w:p>
            <w:pPr>
              <w:jc w:val="center"/>
              <w:rPr>
                <w:rFonts w:ascii="仿宋_GB2312" w:hAnsi="Times New Roman" w:eastAsia="仿宋_GB2312" w:cs="Times New Roman"/>
                <w:color w:val="000000" w:themeColor="text1"/>
                <w:szCs w:val="21"/>
              </w:rPr>
            </w:pPr>
          </w:p>
        </w:tc>
        <w:tc>
          <w:tcPr>
            <w:tcW w:w="2792" w:type="dxa"/>
            <w:noWrap/>
            <w:vAlign w:val="center"/>
          </w:tcPr>
          <w:p>
            <w:pPr>
              <w:jc w:val="center"/>
              <w:rPr>
                <w:rFonts w:ascii="仿宋_GB2312" w:hAnsi="Times New Roman" w:eastAsia="仿宋_GB2312" w:cs="Times New Roman"/>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699" w:type="dxa"/>
            <w:noWrap/>
            <w:vAlign w:val="center"/>
          </w:tcPr>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医师</w:t>
            </w:r>
          </w:p>
          <w:p>
            <w:pPr>
              <w:jc w:val="center"/>
              <w:rPr>
                <w:rFonts w:ascii="仿宋_GB2312" w:hAnsi="Times New Roman" w:eastAsia="仿宋_GB2312" w:cs="Times New Roman"/>
                <w:color w:val="000000" w:themeColor="text1"/>
                <w:szCs w:val="21"/>
              </w:rPr>
            </w:pPr>
            <w:r>
              <w:rPr>
                <w:rFonts w:hint="eastAsia" w:ascii="仿宋_GB2312" w:hAnsi="Times New Roman" w:eastAsia="仿宋_GB2312" w:cs="Times New Roman"/>
                <w:color w:val="000000" w:themeColor="text1"/>
                <w:szCs w:val="21"/>
              </w:rPr>
              <w:t>签名</w:t>
            </w:r>
          </w:p>
        </w:tc>
        <w:tc>
          <w:tcPr>
            <w:tcW w:w="3019" w:type="dxa"/>
            <w:noWrap/>
            <w:vAlign w:val="center"/>
          </w:tcPr>
          <w:p>
            <w:pPr>
              <w:jc w:val="center"/>
              <w:rPr>
                <w:rFonts w:ascii="仿宋_GB2312" w:hAnsi="Times New Roman" w:eastAsia="仿宋_GB2312" w:cs="Times New Roman"/>
                <w:color w:val="000000" w:themeColor="text1"/>
                <w:szCs w:val="21"/>
              </w:rPr>
            </w:pPr>
          </w:p>
        </w:tc>
        <w:tc>
          <w:tcPr>
            <w:tcW w:w="3009" w:type="dxa"/>
            <w:noWrap/>
            <w:vAlign w:val="center"/>
          </w:tcPr>
          <w:p>
            <w:pPr>
              <w:jc w:val="center"/>
              <w:rPr>
                <w:rFonts w:ascii="仿宋_GB2312" w:hAnsi="Times New Roman" w:eastAsia="仿宋_GB2312" w:cs="Times New Roman"/>
                <w:color w:val="000000" w:themeColor="text1"/>
                <w:szCs w:val="21"/>
              </w:rPr>
            </w:pPr>
          </w:p>
        </w:tc>
        <w:tc>
          <w:tcPr>
            <w:tcW w:w="2792" w:type="dxa"/>
            <w:noWrap/>
            <w:vAlign w:val="center"/>
          </w:tcPr>
          <w:p>
            <w:pPr>
              <w:jc w:val="center"/>
              <w:rPr>
                <w:rFonts w:ascii="仿宋_GB2312" w:hAnsi="Times New Roman" w:eastAsia="仿宋_GB2312" w:cs="Times New Roman"/>
                <w:color w:val="000000" w:themeColor="text1"/>
                <w:szCs w:val="21"/>
              </w:rPr>
            </w:pPr>
          </w:p>
        </w:tc>
      </w:tr>
    </w:tbl>
    <w:p>
      <w:pPr>
        <w:spacing w:line="500" w:lineRule="exact"/>
        <w:jc w:val="left"/>
        <w:rPr>
          <w:rFonts w:ascii="仿宋_GB2312" w:hAnsi="仿宋_GB2312" w:eastAsia="仿宋_GB2312" w:cs="仿宋_GB2312"/>
          <w:color w:val="000000" w:themeColor="text1"/>
          <w:sz w:val="28"/>
          <w:szCs w:val="28"/>
        </w:rPr>
        <w:sectPr>
          <w:pgSz w:w="11850" w:h="16838"/>
          <w:pgMar w:top="1134" w:right="1134" w:bottom="1134" w:left="1134" w:header="851" w:footer="992" w:gutter="0"/>
          <w:pgNumType w:fmt="numberInDash"/>
          <w:cols w:space="720" w:num="1"/>
          <w:docGrid w:type="lines" w:linePitch="312" w:charSpace="0"/>
        </w:sectPr>
      </w:pPr>
    </w:p>
    <w:p>
      <w:pPr>
        <w:autoSpaceDE w:val="0"/>
        <w:autoSpaceDN w:val="0"/>
        <w:adjustRightInd w:val="0"/>
        <w:spacing w:line="600" w:lineRule="exact"/>
        <w:rPr>
          <w:rFonts w:ascii="黑体" w:hAnsi="黑体" w:eastAsia="黑体" w:cs="方正小标宋简体"/>
          <w:bCs/>
          <w:color w:val="000000" w:themeColor="text1"/>
          <w:kern w:val="0"/>
          <w:position w:val="-3"/>
          <w:sz w:val="36"/>
          <w:szCs w:val="36"/>
        </w:rPr>
      </w:pPr>
      <w:r>
        <w:rPr>
          <w:rFonts w:hint="eastAsia" w:ascii="黑体" w:hAnsi="黑体" w:eastAsia="黑体" w:cs="方正小标宋简体"/>
          <w:bCs/>
          <w:color w:val="000000" w:themeColor="text1"/>
          <w:kern w:val="0"/>
          <w:position w:val="-3"/>
          <w:sz w:val="36"/>
          <w:szCs w:val="36"/>
        </w:rPr>
        <w:t>2.项痹病（颈椎病神经根型）</w:t>
      </w:r>
    </w:p>
    <w:p>
      <w:pPr>
        <w:autoSpaceDE w:val="0"/>
        <w:autoSpaceDN w:val="0"/>
        <w:adjustRightInd w:val="0"/>
        <w:spacing w:line="600" w:lineRule="exact"/>
        <w:jc w:val="center"/>
        <w:rPr>
          <w:rFonts w:ascii="黑体" w:hAnsi="黑体" w:eastAsia="黑体" w:cs="方正小标宋简体"/>
          <w:bCs/>
          <w:color w:val="000000" w:themeColor="text1"/>
          <w:kern w:val="0"/>
          <w:position w:val="-3"/>
          <w:sz w:val="36"/>
          <w:szCs w:val="36"/>
        </w:rPr>
      </w:pPr>
    </w:p>
    <w:p>
      <w:pPr>
        <w:autoSpaceDE w:val="0"/>
        <w:autoSpaceDN w:val="0"/>
        <w:adjustRightInd w:val="0"/>
        <w:spacing w:line="400" w:lineRule="exact"/>
        <w:jc w:val="center"/>
        <w:rPr>
          <w:rFonts w:ascii="仿宋_GB2312" w:hAnsi="方正小标宋简体" w:eastAsia="仿宋_GB2312" w:cs="方正小标宋简体"/>
          <w:b/>
          <w:bCs/>
          <w:color w:val="000000" w:themeColor="text1"/>
          <w:kern w:val="0"/>
          <w:position w:val="-3"/>
          <w:sz w:val="32"/>
          <w:szCs w:val="32"/>
        </w:rPr>
      </w:pPr>
      <w:r>
        <w:rPr>
          <w:rFonts w:hint="eastAsia" w:ascii="仿宋_GB2312" w:hAnsi="方正小标宋简体" w:eastAsia="仿宋_GB2312" w:cs="方正小标宋简体"/>
          <w:b/>
          <w:bCs/>
          <w:color w:val="000000" w:themeColor="text1"/>
          <w:kern w:val="0"/>
          <w:position w:val="-3"/>
          <w:sz w:val="32"/>
          <w:szCs w:val="32"/>
        </w:rPr>
        <w:t>一、临床路径标准治疗流程</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路径说明：本路径适合于西医诊断为项痹病（颈椎病神经根型）的患者。</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一、项痹病（神经根型颈椎病）中医</w:t>
      </w:r>
      <w:r>
        <w:rPr>
          <w:rFonts w:hint="eastAsia" w:ascii="仿宋_GB2312" w:hAnsi="仿宋_GB2312" w:eastAsia="仿宋_GB2312" w:cs="仿宋_GB2312"/>
          <w:color w:val="000000" w:themeColor="text1"/>
          <w:sz w:val="24"/>
        </w:rPr>
        <w:t>实施性</w:t>
      </w:r>
      <w:r>
        <w:rPr>
          <w:rFonts w:hint="eastAsia" w:ascii="仿宋_GB2312" w:hAnsi="仿宋_GB2312" w:eastAsia="仿宋_GB2312" w:cs="仿宋_GB2312"/>
          <w:color w:val="000000" w:themeColor="text1"/>
          <w:kern w:val="0"/>
          <w:sz w:val="24"/>
        </w:rPr>
        <w:t>临床路径标准住院流程</w:t>
      </w:r>
    </w:p>
    <w:p>
      <w:pPr>
        <w:autoSpaceDE w:val="0"/>
        <w:autoSpaceDN w:val="0"/>
        <w:adjustRightInd w:val="0"/>
        <w:spacing w:line="400" w:lineRule="exact"/>
        <w:ind w:firstLine="481" w:firstLineChars="200"/>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（一）适用对象</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中医诊断：第一诊断为项痹病（TCD编码：BGS000） 西医诊断：第一诊断为颈椎病（神经根型</w:t>
      </w:r>
      <w:r>
        <w:rPr>
          <w:rFonts w:hint="eastAsia" w:ascii="仿宋_GB2312" w:hAnsi="仿宋_GB2312" w:eastAsia="仿宋_GB2312" w:cs="仿宋_GB2312"/>
          <w:color w:val="000000" w:themeColor="text1"/>
          <w:spacing w:val="-120"/>
          <w:kern w:val="0"/>
          <w:sz w:val="24"/>
        </w:rPr>
        <w:t>）</w:t>
      </w:r>
      <w:r>
        <w:rPr>
          <w:rFonts w:hint="eastAsia" w:ascii="仿宋_GB2312" w:hAnsi="仿宋_GB2312" w:eastAsia="仿宋_GB2312" w:cs="仿宋_GB2312"/>
          <w:color w:val="000000" w:themeColor="text1"/>
          <w:kern w:val="0"/>
          <w:sz w:val="24"/>
        </w:rPr>
        <w:t>（ICD-10编码: M47.221+G55.2*）</w:t>
      </w:r>
    </w:p>
    <w:p>
      <w:pPr>
        <w:autoSpaceDE w:val="0"/>
        <w:autoSpaceDN w:val="0"/>
        <w:adjustRightInd w:val="0"/>
        <w:spacing w:line="400" w:lineRule="exact"/>
        <w:ind w:firstLine="481" w:firstLineChars="200"/>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（二）诊断依据</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1．疾病诊断</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参照2009年中国康复医学会颈椎病专业委员会《颈椎病诊治与康复指南</w:t>
      </w:r>
      <w:r>
        <w:rPr>
          <w:rFonts w:hint="eastAsia" w:ascii="仿宋_GB2312" w:hAnsi="仿宋_GB2312" w:eastAsia="仿宋_GB2312" w:cs="仿宋_GB2312"/>
          <w:color w:val="000000" w:themeColor="text1"/>
          <w:spacing w:val="-120"/>
          <w:kern w:val="0"/>
          <w:sz w:val="24"/>
        </w:rPr>
        <w:t>》</w:t>
      </w:r>
      <w:r>
        <w:rPr>
          <w:rFonts w:hint="eastAsia" w:ascii="仿宋_GB2312" w:hAnsi="仿宋_GB2312" w:eastAsia="仿宋_GB2312" w:cs="仿宋_GB2312"/>
          <w:color w:val="000000" w:themeColor="text1"/>
          <w:kern w:val="0"/>
          <w:sz w:val="24"/>
        </w:rPr>
        <w:t>。</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2．疾病分期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（1）急性期：</w:t>
      </w:r>
      <w:r>
        <w:rPr>
          <w:rFonts w:hint="eastAsia" w:ascii="仿宋_GB2312" w:hAnsi="仿宋_GB2312" w:eastAsia="仿宋_GB2312" w:cs="仿宋_GB2312"/>
          <w:color w:val="000000" w:themeColor="text1"/>
          <w:sz w:val="24"/>
        </w:rPr>
        <w:t>临床主要表现为颈肩部疼痛，颈椎活动受限，稍有活动即可使颈肩臂部疼痛加重，疼痛剧烈时难以坐卧，被动以健肢拖住患肢，影响睡眠。颈性眩晕，猝倒或四肢无力运动不灵活。</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（2）缓解期</w:t>
      </w:r>
      <w:r>
        <w:rPr>
          <w:rFonts w:hint="eastAsia" w:ascii="仿宋_GB2312" w:hAnsi="仿宋_GB2312" w:eastAsia="仿宋_GB2312" w:cs="仿宋_GB2312"/>
          <w:color w:val="000000" w:themeColor="text1"/>
          <w:sz w:val="24"/>
        </w:rPr>
        <w:t>：临床主要表现为颈僵，颈肩背部酸沉，颈椎活动受限，患肢串麻疼痛，可以忍受。</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（3）康复期</w:t>
      </w:r>
      <w:r>
        <w:rPr>
          <w:rFonts w:hint="eastAsia" w:ascii="仿宋_GB2312" w:hAnsi="仿宋_GB2312" w:eastAsia="仿宋_GB2312" w:cs="仿宋_GB2312"/>
          <w:color w:val="000000" w:themeColor="text1"/>
          <w:sz w:val="24"/>
        </w:rPr>
        <w:t>：颈肩部及上肢麻痛症状消失，但颈肩背及上肢酸沉症状仍存，受凉或劳累后症状加重。</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3．证候诊断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参</w:t>
      </w:r>
      <w:r>
        <w:rPr>
          <w:rFonts w:hint="eastAsia" w:ascii="仿宋_GB2312" w:hAnsi="仿宋_GB2312" w:eastAsia="仿宋_GB2312" w:cs="仿宋_GB2312"/>
          <w:color w:val="000000" w:themeColor="text1"/>
          <w:spacing w:val="-10"/>
          <w:kern w:val="0"/>
          <w:sz w:val="24"/>
        </w:rPr>
        <w:t>照</w:t>
      </w:r>
      <w:r>
        <w:rPr>
          <w:rFonts w:hint="eastAsia" w:ascii="仿宋_GB2312" w:hAnsi="仿宋_GB2312" w:eastAsia="仿宋_GB2312" w:cs="仿宋_GB2312"/>
          <w:color w:val="000000" w:themeColor="text1"/>
          <w:kern w:val="0"/>
          <w:sz w:val="24"/>
        </w:rPr>
        <w:t>“国家中医药管理</w:t>
      </w:r>
      <w:r>
        <w:rPr>
          <w:rFonts w:hint="eastAsia" w:ascii="仿宋_GB2312" w:hAnsi="仿宋_GB2312" w:eastAsia="仿宋_GB2312" w:cs="仿宋_GB2312"/>
          <w:color w:val="000000" w:themeColor="text1"/>
          <w:spacing w:val="-10"/>
          <w:kern w:val="0"/>
          <w:sz w:val="24"/>
        </w:rPr>
        <w:t>局</w:t>
      </w:r>
      <w:r>
        <w:rPr>
          <w:rFonts w:hint="eastAsia" w:ascii="仿宋_GB2312" w:hAnsi="仿宋_GB2312" w:eastAsia="仿宋_GB2312" w:cs="仿宋_GB2312"/>
          <w:color w:val="000000" w:themeColor="text1"/>
          <w:kern w:val="0"/>
          <w:sz w:val="24"/>
        </w:rPr>
        <w:t>‘十一五</w:t>
      </w:r>
      <w:r>
        <w:rPr>
          <w:rFonts w:hint="eastAsia" w:ascii="仿宋_GB2312" w:hAnsi="仿宋_GB2312" w:eastAsia="仿宋_GB2312" w:cs="仿宋_GB2312"/>
          <w:color w:val="000000" w:themeColor="text1"/>
          <w:spacing w:val="-10"/>
          <w:kern w:val="0"/>
          <w:sz w:val="24"/>
        </w:rPr>
        <w:t>’</w:t>
      </w:r>
      <w:r>
        <w:rPr>
          <w:rFonts w:hint="eastAsia" w:ascii="仿宋_GB2312" w:hAnsi="仿宋_GB2312" w:eastAsia="仿宋_GB2312" w:cs="仿宋_GB2312"/>
          <w:color w:val="000000" w:themeColor="text1"/>
          <w:kern w:val="0"/>
          <w:sz w:val="24"/>
        </w:rPr>
        <w:t>重点专科协作组项痹</w:t>
      </w:r>
      <w:r>
        <w:rPr>
          <w:rFonts w:hint="eastAsia" w:ascii="仿宋_GB2312" w:hAnsi="仿宋_GB2312" w:eastAsia="仿宋_GB2312" w:cs="仿宋_GB2312"/>
          <w:color w:val="000000" w:themeColor="text1"/>
          <w:spacing w:val="-10"/>
          <w:kern w:val="0"/>
          <w:sz w:val="24"/>
        </w:rPr>
        <w:t>病</w:t>
      </w:r>
      <w:r>
        <w:rPr>
          <w:rFonts w:hint="eastAsia" w:ascii="仿宋_GB2312" w:hAnsi="仿宋_GB2312" w:eastAsia="仿宋_GB2312" w:cs="仿宋_GB2312"/>
          <w:color w:val="000000" w:themeColor="text1"/>
          <w:kern w:val="0"/>
          <w:sz w:val="24"/>
        </w:rPr>
        <w:t>（神经根型颈椎病</w:t>
      </w:r>
      <w:r>
        <w:rPr>
          <w:rFonts w:hint="eastAsia" w:ascii="仿宋_GB2312" w:hAnsi="仿宋_GB2312" w:eastAsia="仿宋_GB2312" w:cs="仿宋_GB2312"/>
          <w:color w:val="000000" w:themeColor="text1"/>
          <w:spacing w:val="-10"/>
          <w:kern w:val="0"/>
          <w:sz w:val="24"/>
        </w:rPr>
        <w:t>）</w:t>
      </w:r>
      <w:r>
        <w:rPr>
          <w:rFonts w:hint="eastAsia" w:ascii="仿宋_GB2312" w:hAnsi="仿宋_GB2312" w:eastAsia="仿宋_GB2312" w:cs="仿宋_GB2312"/>
          <w:color w:val="000000" w:themeColor="text1"/>
          <w:kern w:val="0"/>
          <w:sz w:val="24"/>
        </w:rPr>
        <w:t>诊疗方案</w:t>
      </w:r>
      <w:r>
        <w:rPr>
          <w:rFonts w:hint="eastAsia" w:ascii="仿宋_GB2312" w:hAnsi="仿宋_GB2312" w:eastAsia="仿宋_GB2312" w:cs="仿宋_GB2312"/>
          <w:color w:val="000000" w:themeColor="text1"/>
          <w:spacing w:val="-120"/>
          <w:kern w:val="0"/>
          <w:sz w:val="24"/>
        </w:rPr>
        <w:t>”</w:t>
      </w:r>
      <w:r>
        <w:rPr>
          <w:rFonts w:hint="eastAsia" w:ascii="仿宋_GB2312" w:hAnsi="仿宋_GB2312" w:eastAsia="仿宋_GB2312" w:cs="仿宋_GB2312"/>
          <w:color w:val="000000" w:themeColor="text1"/>
          <w:kern w:val="0"/>
          <w:sz w:val="24"/>
        </w:rPr>
        <w:t>。 项痹病（神经根型颈椎病）</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临床常见证型：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1．风寒痹阻证：颈、肩、上肢窜痛麻木，以痛为主，头有沉重感，颈部僵硬，活动不利，恶寒畏风。舌淡红，苔薄白，脉弦紧。</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2．血瘀气滞证：颈肩部、上肢刺痛，痛处固定，伴有肢体麻木。舌质暗，脉弦。</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3．痰湿阻络证：头晕目眩，头重如裹，四肢麻木，纳呆。舌暗红，苔厚腻，脉弦滑。</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4．肝肾不足证：眩晕头痛，耳鸣耳聋，失眠多梦，肢体麻木，面红目赤。舌红少苔，脉弦。</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5．气血亏虚证：头晕目眩，面色苍白，心悸气短，四肢麻木，倦怠乏力。舌淡苔少，脉细弱。</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 xml:space="preserve">（三）治疗方案的选择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z w:val="24"/>
        </w:rPr>
        <w:t>参照国家中药管理局重点专科协作组制定的《</w:t>
      </w:r>
      <w:r>
        <w:rPr>
          <w:rFonts w:hint="eastAsia" w:ascii="仿宋_GB2312" w:hAnsi="仿宋_GB2312" w:eastAsia="仿宋_GB2312" w:cs="仿宋_GB2312"/>
          <w:color w:val="000000" w:themeColor="text1"/>
          <w:kern w:val="0"/>
          <w:sz w:val="24"/>
        </w:rPr>
        <w:t>项痹</w:t>
      </w:r>
      <w:r>
        <w:rPr>
          <w:rFonts w:hint="eastAsia" w:ascii="仿宋_GB2312" w:hAnsi="仿宋_GB2312" w:eastAsia="仿宋_GB2312" w:cs="仿宋_GB2312"/>
          <w:color w:val="000000" w:themeColor="text1"/>
          <w:spacing w:val="-10"/>
          <w:kern w:val="0"/>
          <w:sz w:val="24"/>
        </w:rPr>
        <w:t>病</w:t>
      </w:r>
      <w:r>
        <w:rPr>
          <w:rFonts w:hint="eastAsia" w:ascii="仿宋_GB2312" w:hAnsi="仿宋_GB2312" w:eastAsia="仿宋_GB2312" w:cs="仿宋_GB2312"/>
          <w:color w:val="000000" w:themeColor="text1"/>
          <w:kern w:val="0"/>
          <w:sz w:val="24"/>
        </w:rPr>
        <w:t>（神经根型颈椎病</w:t>
      </w:r>
      <w:r>
        <w:rPr>
          <w:rFonts w:hint="eastAsia" w:ascii="仿宋_GB2312" w:hAnsi="仿宋_GB2312" w:eastAsia="仿宋_GB2312" w:cs="仿宋_GB2312"/>
          <w:color w:val="000000" w:themeColor="text1"/>
          <w:spacing w:val="-10"/>
          <w:kern w:val="0"/>
          <w:sz w:val="24"/>
        </w:rPr>
        <w:t>）</w:t>
      </w:r>
      <w:r>
        <w:rPr>
          <w:rFonts w:hint="eastAsia" w:ascii="仿宋_GB2312" w:hAnsi="仿宋_GB2312" w:eastAsia="仿宋_GB2312" w:cs="仿宋_GB2312"/>
          <w:color w:val="000000" w:themeColor="text1"/>
          <w:kern w:val="0"/>
          <w:sz w:val="24"/>
        </w:rPr>
        <w:t>诊疗方案》。</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1．诊断明确，第一诊断为项痹病（神经根型颈椎病</w:t>
      </w:r>
      <w:r>
        <w:rPr>
          <w:rFonts w:hint="eastAsia" w:ascii="仿宋_GB2312" w:hAnsi="仿宋_GB2312" w:eastAsia="仿宋_GB2312" w:cs="仿宋_GB2312"/>
          <w:color w:val="000000" w:themeColor="text1"/>
          <w:spacing w:val="-120"/>
          <w:kern w:val="0"/>
          <w:sz w:val="24"/>
        </w:rPr>
        <w:t>）</w:t>
      </w:r>
      <w:r>
        <w:rPr>
          <w:rFonts w:hint="eastAsia" w:ascii="仿宋_GB2312" w:hAnsi="仿宋_GB2312" w:eastAsia="仿宋_GB2312" w:cs="仿宋_GB2312"/>
          <w:color w:val="000000" w:themeColor="text1"/>
          <w:kern w:val="0"/>
          <w:sz w:val="24"/>
        </w:rPr>
        <w:t>。</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2．患者适合并接受中医治疗。</w:t>
      </w:r>
    </w:p>
    <w:p>
      <w:pPr>
        <w:autoSpaceDE w:val="0"/>
        <w:autoSpaceDN w:val="0"/>
        <w:adjustRightInd w:val="0"/>
        <w:spacing w:line="400" w:lineRule="exact"/>
        <w:ind w:firstLine="481"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b/>
          <w:color w:val="000000" w:themeColor="text1"/>
          <w:kern w:val="0"/>
          <w:sz w:val="24"/>
        </w:rPr>
        <w:t>（四）</w:t>
      </w:r>
      <w:r>
        <w:rPr>
          <w:rFonts w:hint="eastAsia" w:ascii="仿宋_GB2312" w:hAnsi="仿宋_GB2312" w:eastAsia="仿宋_GB2312" w:cs="仿宋_GB2312"/>
          <w:b/>
          <w:color w:val="000000" w:themeColor="text1"/>
          <w:sz w:val="24"/>
        </w:rPr>
        <w:t>标准住院日</w:t>
      </w:r>
    </w:p>
    <w:p>
      <w:pPr>
        <w:autoSpaceDE w:val="0"/>
        <w:autoSpaceDN w:val="0"/>
        <w:adjustRightInd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≤21天。</w:t>
      </w:r>
    </w:p>
    <w:p>
      <w:pPr>
        <w:autoSpaceDE w:val="0"/>
        <w:autoSpaceDN w:val="0"/>
        <w:adjustRightInd w:val="0"/>
        <w:spacing w:line="400" w:lineRule="exact"/>
        <w:ind w:firstLine="481" w:firstLineChars="200"/>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（五）进入路径标准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1．第一诊断必须符合项痹病（神经根型颈椎病）（TCD 编码: BGS000、ICD-10 编码:</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M47.221+G55.2*）的患者。</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2．门诊治疗疗效不佳者。</w:t>
      </w:r>
    </w:p>
    <w:p>
      <w:pPr>
        <w:autoSpaceDE w:val="0"/>
        <w:autoSpaceDN w:val="0"/>
        <w:adjustRightInd w:val="0"/>
        <w:spacing w:line="400" w:lineRule="exact"/>
        <w:ind w:firstLine="488"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pacing w:val="2"/>
          <w:kern w:val="0"/>
          <w:sz w:val="24"/>
        </w:rPr>
        <w:t xml:space="preserve">3．患者同时并发其他疾病，但在治疗期间无需特殊处理，也不影响第一诊断的临 </w:t>
      </w:r>
      <w:r>
        <w:rPr>
          <w:rFonts w:hint="eastAsia" w:ascii="仿宋_GB2312" w:hAnsi="仿宋_GB2312" w:eastAsia="仿宋_GB2312" w:cs="仿宋_GB2312"/>
          <w:color w:val="000000" w:themeColor="text1"/>
          <w:kern w:val="0"/>
          <w:sz w:val="24"/>
        </w:rPr>
        <w:t>床路径流程实施时，可以进入本路径。</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4．有以下情况者不能进入本路径：</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（1）有手术指征者</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（2）合并发育性椎管狭窄者（椎管比值＝椎管矢状径/椎体矢状径＜0.75）</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（3）治疗部位有严重皮肤损伤或皮肤病者</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（4）曾经接受颈椎手术治疗或颈椎畸形者</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 xml:space="preserve">（六）中医证候学观察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四诊合参</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收集该病种不同证候的主症</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次症</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舌</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脉特点</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注意证候的动态变化。</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（七）入院检查项目</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1．必需的检查项目</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（1）颈椎张口位、正侧位、功能位、双斜位X线片</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（2）血常规、尿常规、粪常规</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（3）肝功能、肾功能、血糖、血沉、风湿三项</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（4）心电图</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（5）胸部X线片</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2．可选择的检查项目：根据病情需要而定，如血电解质、凝血功能、血脂、肌电图、颈椎CT或MRI等。</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（八）治疗方法</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1．手法</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（1）松解类手法：</w:t>
      </w:r>
      <w:r>
        <w:rPr>
          <w:rFonts w:hint="eastAsia" w:ascii="仿宋_GB2312" w:hAnsi="仿宋_GB2312" w:eastAsia="仿宋_GB2312" w:cs="仿宋_GB2312"/>
          <w:color w:val="000000" w:themeColor="text1"/>
          <w:sz w:val="24"/>
        </w:rPr>
        <w:t>通调督脉法、间歇拔伸法、牵引揉捻法、拔伸推按法等。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（2）整复类手法：</w:t>
      </w:r>
      <w:r>
        <w:rPr>
          <w:rFonts w:hint="eastAsia" w:ascii="仿宋_GB2312" w:hAnsi="仿宋_GB2312" w:eastAsia="仿宋_GB2312" w:cs="仿宋_GB2312"/>
          <w:color w:val="000000" w:themeColor="text1"/>
          <w:sz w:val="24"/>
        </w:rPr>
        <w:t>旋提手法、定位旋转扳法、旋转法、其他颈椎微调手法等。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（3）结束类手法：</w:t>
      </w:r>
      <w:r>
        <w:rPr>
          <w:rFonts w:hint="eastAsia" w:ascii="仿宋_GB2312" w:hAnsi="仿宋_GB2312" w:eastAsia="仿宋_GB2312" w:cs="仿宋_GB2312"/>
          <w:color w:val="000000" w:themeColor="text1"/>
          <w:sz w:val="24"/>
        </w:rPr>
        <w:t>一指禅推法、揉法、擦法、搓法、拍法等。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2．针灸疗法：</w:t>
      </w:r>
      <w:r>
        <w:rPr>
          <w:rFonts w:hint="eastAsia" w:ascii="仿宋_GB2312" w:hAnsi="仿宋_GB2312" w:eastAsia="仿宋_GB2312" w:cs="仿宋_GB2312"/>
          <w:color w:val="000000" w:themeColor="text1"/>
          <w:sz w:val="24"/>
        </w:rPr>
        <w:t>选择应用体针、腹针、平衡针、电针、头针、灸法、耳压疗法、针刀疗法等。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3．牵引疗法：常用枕颌牵引，方向前屈5-10度，重量3-5kg(根据病人体重体质加减)，时间20-30分钟。</w:t>
      </w:r>
    </w:p>
    <w:p>
      <w:pPr>
        <w:autoSpaceDE w:val="0"/>
        <w:autoSpaceDN w:val="0"/>
        <w:adjustRightInd w:val="0"/>
        <w:spacing w:line="400" w:lineRule="exact"/>
        <w:ind w:firstLine="488"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pacing w:val="2"/>
          <w:kern w:val="0"/>
          <w:sz w:val="24"/>
        </w:rPr>
        <w:t>4．其他外治法：敷贴、熏蒸、涂擦、膏摩、刮痧、拔罐、中药离子导入、</w:t>
      </w:r>
      <w:r>
        <w:rPr>
          <w:rFonts w:hint="eastAsia" w:ascii="仿宋_GB2312" w:hAnsi="仿宋_GB2312" w:eastAsia="仿宋_GB2312" w:cs="仿宋_GB2312"/>
          <w:color w:val="000000" w:themeColor="text1"/>
          <w:kern w:val="0"/>
          <w:sz w:val="24"/>
        </w:rPr>
        <w:t>穴位埋线、封闭疗法等。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5．辨证选择口服中药汤剂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（1）风寒痹阻证</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治法：祛风散寒，祛湿通络。</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方药：</w:t>
      </w:r>
      <w:r>
        <w:rPr>
          <w:rFonts w:hint="eastAsia" w:ascii="仿宋_GB2312" w:hAnsi="仿宋_GB2312" w:eastAsia="仿宋_GB2312" w:cs="仿宋_GB2312"/>
          <w:color w:val="000000" w:themeColor="text1"/>
          <w:sz w:val="24"/>
        </w:rPr>
        <w:t>羌活胜湿汤加减。羌活、独活、藁本、防风、炙甘草、川芎、蔓荆子等。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（2）血瘀气滞证</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治法：行气活血，通络止痛。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方药：</w:t>
      </w:r>
      <w:r>
        <w:rPr>
          <w:rFonts w:hint="eastAsia" w:ascii="仿宋_GB2312" w:hAnsi="仿宋_GB2312" w:eastAsia="仿宋_GB2312" w:cs="仿宋_GB2312"/>
          <w:color w:val="000000" w:themeColor="text1"/>
          <w:sz w:val="24"/>
        </w:rPr>
        <w:t>桃红四物汤加减。熟地黄、当归、白芍、川芍、桃仁、红花等。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position w:val="-4"/>
          <w:sz w:val="24"/>
        </w:rPr>
      </w:pPr>
      <w:r>
        <w:rPr>
          <w:rFonts w:hint="eastAsia" w:ascii="仿宋_GB2312" w:hAnsi="仿宋_GB2312" w:eastAsia="仿宋_GB2312" w:cs="仿宋_GB2312"/>
          <w:color w:val="000000" w:themeColor="text1"/>
          <w:kern w:val="0"/>
          <w:position w:val="-4"/>
          <w:sz w:val="24"/>
        </w:rPr>
        <w:t>（3）痰湿阻络证</w:t>
      </w:r>
    </w:p>
    <w:p>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themeColor="text1"/>
          <w:kern w:val="0"/>
          <w:position w:val="-4"/>
          <w:sz w:val="24"/>
        </w:rPr>
      </w:pPr>
      <w:r>
        <w:rPr>
          <w:rFonts w:hint="eastAsia" w:ascii="仿宋_GB2312" w:hAnsi="仿宋_GB2312" w:eastAsia="仿宋_GB2312" w:cs="仿宋_GB2312"/>
          <w:color w:val="000000" w:themeColor="text1"/>
          <w:kern w:val="0"/>
          <w:sz w:val="24"/>
        </w:rPr>
        <w:t>治法</w:t>
      </w:r>
      <w:r>
        <w:rPr>
          <w:rFonts w:hint="eastAsia" w:ascii="仿宋_GB2312" w:hAnsi="仿宋_GB2312" w:eastAsia="仿宋_GB2312" w:cs="仿宋_GB2312"/>
          <w:color w:val="000000" w:themeColor="text1"/>
          <w:kern w:val="0"/>
          <w:position w:val="-4"/>
          <w:sz w:val="24"/>
        </w:rPr>
        <w:t>：祛湿化痰，通络止痛。</w:t>
      </w:r>
    </w:p>
    <w:p>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方药：</w:t>
      </w:r>
      <w:r>
        <w:rPr>
          <w:rFonts w:hint="eastAsia" w:ascii="仿宋_GB2312" w:hAnsi="仿宋_GB2312" w:eastAsia="仿宋_GB2312" w:cs="仿宋_GB2312"/>
          <w:color w:val="000000" w:themeColor="text1"/>
          <w:sz w:val="24"/>
        </w:rPr>
        <w:t>半夏白术天麻汤加减。白术、天麻、茯苓、橘红、白术、甘草等。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（4）肝肾不足证</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治法：补益肝肾，通络止痛。</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方药：</w:t>
      </w:r>
      <w:r>
        <w:rPr>
          <w:rFonts w:hint="eastAsia" w:ascii="仿宋_GB2312" w:hAnsi="仿宋_GB2312" w:eastAsia="仿宋_GB2312" w:cs="仿宋_GB2312"/>
          <w:color w:val="000000" w:themeColor="text1"/>
          <w:sz w:val="24"/>
        </w:rPr>
        <w:t>肾气丸加减。熟地黄、怀山药、山茱萸、丹皮、茯苓、泽泻、桂枝、附子（先煎）等。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（5）气血亏虚证</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治法：益气温经，和血通痹。</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方药：</w:t>
      </w:r>
      <w:r>
        <w:rPr>
          <w:rFonts w:hint="eastAsia" w:ascii="仿宋_GB2312" w:hAnsi="仿宋_GB2312" w:eastAsia="仿宋_GB2312" w:cs="仿宋_GB2312"/>
          <w:color w:val="000000" w:themeColor="text1"/>
          <w:sz w:val="24"/>
        </w:rPr>
        <w:t>黄茂桂枝五物汤加减。黄芪、芍药、桂枝、生姜、大枣等。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6．辩证选择中成药：</w:t>
      </w:r>
      <w:r>
        <w:rPr>
          <w:rFonts w:hint="eastAsia" w:ascii="仿宋_GB2312" w:hAnsi="仿宋_GB2312" w:eastAsia="仿宋_GB2312" w:cs="仿宋_GB2312"/>
          <w:color w:val="000000" w:themeColor="text1"/>
          <w:sz w:val="24"/>
        </w:rPr>
        <w:t>如颈复康颗粒、活血止痛胶囊、大活络胶囊、盘龙七片、祛风止痛胶囊、根痛平胶囊、益肾健骨片、六味地黄丸、金天格胶囊等；5%葡萄糖250ml+丹参粉针、红花、丹红、川芎嗪、灯盏花素等静滴。</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7．物理治疗：红外线照射、蜡疗、超声药物透入、电磁疗法等。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8．运动疗法:与颈争力式、前伸探海式、回头望月式等。</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9．对症治疗：根据病情需要，选择脱水、止痛、营养神经等药物对症治疗。</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10.护理：辨证施护。                 </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（九）出院标准</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1．颈项部及上肢疼痛症状消失或明显好转。</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2．日常生活能力基本恢复。</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3．没有需要住院治疗的并发症。</w:t>
      </w:r>
    </w:p>
    <w:p>
      <w:pPr>
        <w:autoSpaceDE w:val="0"/>
        <w:autoSpaceDN w:val="0"/>
        <w:adjustRightInd w:val="0"/>
        <w:spacing w:line="400" w:lineRule="exact"/>
        <w:ind w:firstLine="481" w:firstLineChars="200"/>
        <w:jc w:val="left"/>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（十）变异及原因分析</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1．病情加重，需要延长住院时间，增加住院费用。</w:t>
      </w:r>
    </w:p>
    <w:p>
      <w:pPr>
        <w:autoSpaceDE w:val="0"/>
        <w:autoSpaceDN w:val="0"/>
        <w:adjustRightInd w:val="0"/>
        <w:spacing w:line="400" w:lineRule="exact"/>
        <w:ind w:firstLine="488"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pacing w:val="2"/>
          <w:kern w:val="0"/>
          <w:sz w:val="24"/>
        </w:rPr>
        <w:t xml:space="preserve">2．合并有其他系统疾病者，住院期间病情加重，需要特殊处理，导致住院时间延 </w:t>
      </w:r>
      <w:r>
        <w:rPr>
          <w:rFonts w:hint="eastAsia" w:ascii="仿宋_GB2312" w:hAnsi="仿宋_GB2312" w:eastAsia="仿宋_GB2312" w:cs="仿宋_GB2312"/>
          <w:color w:val="000000" w:themeColor="text1"/>
          <w:kern w:val="0"/>
          <w:sz w:val="24"/>
        </w:rPr>
        <w:t>长、费用增加。</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3．治疗过程中发生了病情变化，出现严重并发症，退出本路径。</w:t>
      </w:r>
    </w:p>
    <w:p>
      <w:pPr>
        <w:autoSpaceDE w:val="0"/>
        <w:autoSpaceDN w:val="0"/>
        <w:adjustRightInd w:val="0"/>
        <w:spacing w:line="400" w:lineRule="exact"/>
        <w:ind w:firstLine="480" w:firstLineChars="200"/>
        <w:jc w:val="left"/>
        <w:rPr>
          <w:rFonts w:ascii="仿宋_GB2312" w:hAnsi="方正小标宋简体" w:eastAsia="仿宋_GB2312" w:cs="方正小标宋简体"/>
          <w:bCs/>
          <w:color w:val="000000" w:themeColor="text1"/>
          <w:kern w:val="0"/>
          <w:position w:val="-4"/>
          <w:sz w:val="24"/>
        </w:rPr>
        <w:sectPr>
          <w:headerReference r:id="rId7" w:type="default"/>
          <w:footerReference r:id="rId8" w:type="default"/>
          <w:pgSz w:w="11850" w:h="16840"/>
          <w:pgMar w:top="1984" w:right="1587" w:bottom="1984" w:left="1587" w:header="829" w:footer="970" w:gutter="0"/>
          <w:pgNumType w:fmt="numberInDash"/>
          <w:cols w:space="720" w:num="1"/>
        </w:sectPr>
      </w:pPr>
      <w:r>
        <w:rPr>
          <w:rFonts w:hint="eastAsia" w:ascii="仿宋_GB2312" w:hAnsi="仿宋_GB2312" w:eastAsia="仿宋_GB2312" w:cs="仿宋_GB2312"/>
          <w:color w:val="000000" w:themeColor="text1"/>
          <w:kern w:val="0"/>
          <w:sz w:val="24"/>
        </w:rPr>
        <w:t>4. 因患者及其家属意愿而影响本路径的执行，退出本路径。</w:t>
      </w:r>
    </w:p>
    <w:p>
      <w:pPr>
        <w:autoSpaceDE w:val="0"/>
        <w:autoSpaceDN w:val="0"/>
        <w:adjustRightInd w:val="0"/>
        <w:jc w:val="center"/>
        <w:rPr>
          <w:rFonts w:ascii="仿宋_GB2312" w:hAnsi="方正小标宋简体" w:eastAsia="仿宋_GB2312" w:cs="方正小标宋简体"/>
          <w:b/>
          <w:bCs/>
          <w:color w:val="000000" w:themeColor="text1"/>
          <w:kern w:val="0"/>
          <w:sz w:val="32"/>
          <w:szCs w:val="32"/>
        </w:rPr>
      </w:pPr>
      <w:r>
        <w:rPr>
          <w:rFonts w:hint="eastAsia" w:ascii="仿宋_GB2312" w:hAnsi="方正小标宋简体" w:eastAsia="仿宋_GB2312" w:cs="方正小标宋简体"/>
          <w:b/>
          <w:bCs/>
          <w:color w:val="000000" w:themeColor="text1"/>
          <w:kern w:val="0"/>
          <w:position w:val="-4"/>
          <w:sz w:val="32"/>
          <w:szCs w:val="32"/>
        </w:rPr>
        <w:t>二、项痹病（颈椎病神经根型）日间病床临床路径表单</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适用对象：第一诊断为项痹病（颈椎病神经根型）（TCD 编 码：BGS000、ICD-10编 码: M47.221+G55.2*）</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标准住院日：≤21天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10772" w:type="dxa"/>
        <w:jc w:val="center"/>
        <w:tblLayout w:type="fixed"/>
        <w:tblCellMar>
          <w:top w:w="0" w:type="dxa"/>
          <w:left w:w="0" w:type="dxa"/>
          <w:bottom w:w="0" w:type="dxa"/>
          <w:right w:w="0" w:type="dxa"/>
        </w:tblCellMar>
      </w:tblPr>
      <w:tblGrid>
        <w:gridCol w:w="941"/>
        <w:gridCol w:w="3217"/>
        <w:gridCol w:w="3302"/>
        <w:gridCol w:w="3312"/>
      </w:tblGrid>
      <w:tr>
        <w:tblPrEx>
          <w:tblCellMar>
            <w:top w:w="0" w:type="dxa"/>
            <w:left w:w="0" w:type="dxa"/>
            <w:bottom w:w="0" w:type="dxa"/>
            <w:right w:w="0" w:type="dxa"/>
          </w:tblCellMar>
        </w:tblPrEx>
        <w:trPr>
          <w:trHeight w:val="599" w:hRule="exact"/>
          <w:jc w:val="center"/>
        </w:trPr>
        <w:tc>
          <w:tcPr>
            <w:tcW w:w="843" w:type="dxa"/>
            <w:tcBorders>
              <w:top w:val="single" w:color="000000" w:sz="8"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kern w:val="0"/>
                <w:szCs w:val="21"/>
              </w:rPr>
              <w:t>时间</w:t>
            </w:r>
          </w:p>
        </w:tc>
        <w:tc>
          <w:tcPr>
            <w:tcW w:w="2878" w:type="dxa"/>
            <w:tcBorders>
              <w:top w:val="single" w:color="000000" w:sz="8" w:space="0"/>
              <w:left w:val="single" w:color="000000" w:sz="4" w:space="0"/>
              <w:bottom w:val="single" w:color="000000" w:sz="4" w:space="0"/>
              <w:right w:val="single" w:color="000000" w:sz="4" w:space="0"/>
            </w:tcBorders>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adjustRightInd w:val="0"/>
              <w:jc w:val="center"/>
              <w:rPr>
                <w:rFonts w:ascii="仿宋_GB2312" w:eastAsia="仿宋_GB2312"/>
                <w:color w:val="000000" w:themeColor="text1"/>
                <w:kern w:val="0"/>
                <w:szCs w:val="21"/>
              </w:rPr>
            </w:pPr>
            <w:r>
              <w:rPr>
                <w:rFonts w:hint="eastAsia" w:ascii="仿宋_GB2312" w:hAnsi="Times New Roman" w:eastAsia="仿宋_GB2312" w:cs="Times New Roman"/>
                <w:color w:val="000000" w:themeColor="text1"/>
                <w:szCs w:val="21"/>
              </w:rPr>
              <w:t>（8-15天）</w:t>
            </w:r>
          </w:p>
        </w:tc>
        <w:tc>
          <w:tcPr>
            <w:tcW w:w="2954" w:type="dxa"/>
            <w:tcBorders>
              <w:top w:val="single" w:color="000000" w:sz="8" w:space="0"/>
              <w:left w:val="single" w:color="000000" w:sz="4" w:space="0"/>
              <w:bottom w:val="single" w:color="000000" w:sz="4" w:space="0"/>
              <w:right w:val="single" w:color="000000" w:sz="4" w:space="0"/>
            </w:tcBorders>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adjustRightInd w:val="0"/>
              <w:jc w:val="center"/>
              <w:rPr>
                <w:rFonts w:ascii="仿宋_GB2312" w:eastAsia="仿宋_GB2312"/>
                <w:color w:val="000000" w:themeColor="text1"/>
                <w:kern w:val="0"/>
                <w:szCs w:val="21"/>
              </w:rPr>
            </w:pPr>
            <w:r>
              <w:rPr>
                <w:rFonts w:hint="eastAsia" w:ascii="仿宋_GB2312" w:hAnsi="Times New Roman" w:eastAsia="仿宋_GB2312" w:cs="Times New Roman"/>
                <w:color w:val="000000" w:themeColor="text1"/>
                <w:szCs w:val="21"/>
              </w:rPr>
              <w:t>（16-21天）</w:t>
            </w:r>
          </w:p>
        </w:tc>
        <w:tc>
          <w:tcPr>
            <w:tcW w:w="2963" w:type="dxa"/>
            <w:tcBorders>
              <w:top w:val="single" w:color="000000" w:sz="8" w:space="0"/>
              <w:left w:val="single" w:color="000000" w:sz="4" w:space="0"/>
              <w:bottom w:val="single" w:color="000000" w:sz="4" w:space="0"/>
              <w:right w:val="single" w:color="000000" w:sz="8" w:space="0"/>
            </w:tcBorders>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adjustRightInd w:val="0"/>
              <w:jc w:val="center"/>
              <w:rPr>
                <w:rFonts w:ascii="仿宋_GB2312" w:eastAsia="仿宋_GB2312"/>
                <w:color w:val="000000" w:themeColor="text1"/>
                <w:kern w:val="0"/>
                <w:szCs w:val="21"/>
              </w:rPr>
            </w:pPr>
            <w:r>
              <w:rPr>
                <w:rFonts w:hint="eastAsia" w:ascii="仿宋_GB2312" w:hAnsi="Times New Roman" w:eastAsia="仿宋_GB2312" w:cs="Times New Roman"/>
                <w:color w:val="000000" w:themeColor="text1"/>
                <w:szCs w:val="21"/>
              </w:rPr>
              <w:t>（出院日）</w:t>
            </w:r>
          </w:p>
        </w:tc>
      </w:tr>
      <w:tr>
        <w:tblPrEx>
          <w:tblCellMar>
            <w:top w:w="0" w:type="dxa"/>
            <w:left w:w="0" w:type="dxa"/>
            <w:bottom w:w="0" w:type="dxa"/>
            <w:right w:w="0" w:type="dxa"/>
          </w:tblCellMar>
        </w:tblPrEx>
        <w:trPr>
          <w:trHeight w:val="1690"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主要</w:t>
            </w:r>
          </w:p>
          <w:p>
            <w:pPr>
              <w:autoSpaceDE w:val="0"/>
              <w:autoSpaceDN w:val="0"/>
              <w:adjustRightInd w:val="0"/>
              <w:jc w:val="center"/>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诊疗</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spacing w:val="10"/>
                <w:kern w:val="0"/>
                <w:position w:val="-1"/>
                <w:szCs w:val="21"/>
              </w:rPr>
              <w:t>工作</w:t>
            </w:r>
          </w:p>
        </w:tc>
        <w:tc>
          <w:tcPr>
            <w:tcW w:w="287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□根据患者病情变化及时调整治疗方案</w:t>
            </w:r>
          </w:p>
          <w:p>
            <w:pPr>
              <w:autoSpaceDE w:val="0"/>
              <w:autoSpaceDN w:val="0"/>
              <w:adjustRightInd w:val="0"/>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□上级医师查房作出进一步</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spacing w:val="10"/>
                <w:kern w:val="0"/>
                <w:position w:val="-1"/>
                <w:szCs w:val="21"/>
              </w:rPr>
              <w:t>的诊疗评</w:t>
            </w:r>
            <w:r>
              <w:rPr>
                <w:rFonts w:hint="eastAsia" w:ascii="仿宋_GB2312" w:hAnsi="宋体" w:eastAsia="仿宋_GB2312" w:cs="宋体"/>
                <w:color w:val="000000" w:themeColor="text1"/>
                <w:kern w:val="0"/>
                <w:position w:val="-2"/>
                <w:szCs w:val="21"/>
              </w:rPr>
              <w:t>估</w:t>
            </w:r>
          </w:p>
        </w:tc>
        <w:tc>
          <w:tcPr>
            <w:tcW w:w="295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0"/>
                <w:kern w:val="0"/>
                <w:position w:val="-1"/>
                <w:szCs w:val="21"/>
              </w:rPr>
              <w:t>□根</w:t>
            </w:r>
            <w:r>
              <w:rPr>
                <w:rFonts w:hint="eastAsia" w:ascii="仿宋_GB2312" w:hAnsi="宋体" w:eastAsia="仿宋_GB2312" w:cs="宋体"/>
                <w:color w:val="000000" w:themeColor="text1"/>
                <w:spacing w:val="11"/>
                <w:kern w:val="0"/>
                <w:position w:val="-1"/>
                <w:szCs w:val="21"/>
              </w:rPr>
              <w:t>据</w:t>
            </w:r>
            <w:r>
              <w:rPr>
                <w:rFonts w:hint="eastAsia" w:ascii="仿宋_GB2312" w:hAnsi="宋体" w:eastAsia="仿宋_GB2312" w:cs="宋体"/>
                <w:color w:val="000000" w:themeColor="text1"/>
                <w:spacing w:val="10"/>
                <w:kern w:val="0"/>
                <w:position w:val="-1"/>
                <w:szCs w:val="21"/>
              </w:rPr>
              <w:t>患</w:t>
            </w:r>
            <w:r>
              <w:rPr>
                <w:rFonts w:hint="eastAsia" w:ascii="仿宋_GB2312" w:hAnsi="宋体" w:eastAsia="仿宋_GB2312" w:cs="宋体"/>
                <w:color w:val="000000" w:themeColor="text1"/>
                <w:spacing w:val="11"/>
                <w:kern w:val="0"/>
                <w:position w:val="-1"/>
                <w:szCs w:val="21"/>
              </w:rPr>
              <w:t>者</w:t>
            </w:r>
            <w:r>
              <w:rPr>
                <w:rFonts w:hint="eastAsia" w:ascii="仿宋_GB2312" w:hAnsi="宋体" w:eastAsia="仿宋_GB2312" w:cs="宋体"/>
                <w:color w:val="000000" w:themeColor="text1"/>
                <w:spacing w:val="10"/>
                <w:kern w:val="0"/>
                <w:position w:val="-1"/>
                <w:szCs w:val="21"/>
              </w:rPr>
              <w:t>病情</w:t>
            </w:r>
            <w:r>
              <w:rPr>
                <w:rFonts w:hint="eastAsia" w:ascii="仿宋_GB2312" w:hAnsi="宋体" w:eastAsia="仿宋_GB2312" w:cs="宋体"/>
                <w:color w:val="000000" w:themeColor="text1"/>
                <w:spacing w:val="11"/>
                <w:kern w:val="0"/>
                <w:position w:val="-1"/>
                <w:szCs w:val="21"/>
              </w:rPr>
              <w:t>变</w:t>
            </w:r>
            <w:r>
              <w:rPr>
                <w:rFonts w:hint="eastAsia" w:ascii="仿宋_GB2312" w:hAnsi="宋体" w:eastAsia="仿宋_GB2312" w:cs="宋体"/>
                <w:color w:val="000000" w:themeColor="text1"/>
                <w:spacing w:val="10"/>
                <w:kern w:val="0"/>
                <w:position w:val="-1"/>
                <w:szCs w:val="21"/>
              </w:rPr>
              <w:t>化</w:t>
            </w:r>
            <w:r>
              <w:rPr>
                <w:rFonts w:hint="eastAsia" w:ascii="仿宋_GB2312" w:hAnsi="宋体" w:eastAsia="仿宋_GB2312" w:cs="宋体"/>
                <w:color w:val="000000" w:themeColor="text1"/>
                <w:spacing w:val="11"/>
                <w:kern w:val="0"/>
                <w:position w:val="-1"/>
                <w:szCs w:val="21"/>
              </w:rPr>
              <w:t>及</w:t>
            </w:r>
            <w:r>
              <w:rPr>
                <w:rFonts w:hint="eastAsia" w:ascii="仿宋_GB2312" w:hAnsi="宋体" w:eastAsia="仿宋_GB2312" w:cs="宋体"/>
                <w:color w:val="000000" w:themeColor="text1"/>
                <w:spacing w:val="10"/>
                <w:kern w:val="0"/>
                <w:position w:val="-1"/>
                <w:szCs w:val="21"/>
              </w:rPr>
              <w:t>时调</w:t>
            </w:r>
            <w:r>
              <w:rPr>
                <w:rFonts w:hint="eastAsia" w:ascii="仿宋_GB2312" w:hAnsi="宋体" w:eastAsia="仿宋_GB2312" w:cs="宋体"/>
                <w:color w:val="000000" w:themeColor="text1"/>
                <w:kern w:val="0"/>
                <w:position w:val="-2"/>
                <w:szCs w:val="21"/>
              </w:rPr>
              <w:t>整治疗方案</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0"/>
                <w:kern w:val="0"/>
                <w:position w:val="-2"/>
                <w:szCs w:val="21"/>
              </w:rPr>
              <w:t>□上</w:t>
            </w:r>
            <w:r>
              <w:rPr>
                <w:rFonts w:hint="eastAsia" w:ascii="仿宋_GB2312" w:hAnsi="宋体" w:eastAsia="仿宋_GB2312" w:cs="宋体"/>
                <w:color w:val="000000" w:themeColor="text1"/>
                <w:spacing w:val="11"/>
                <w:kern w:val="0"/>
                <w:position w:val="-2"/>
                <w:szCs w:val="21"/>
              </w:rPr>
              <w:t>级</w:t>
            </w:r>
            <w:r>
              <w:rPr>
                <w:rFonts w:hint="eastAsia" w:ascii="仿宋_GB2312" w:hAnsi="宋体" w:eastAsia="仿宋_GB2312" w:cs="宋体"/>
                <w:color w:val="000000" w:themeColor="text1"/>
                <w:spacing w:val="10"/>
                <w:kern w:val="0"/>
                <w:position w:val="-2"/>
                <w:szCs w:val="21"/>
              </w:rPr>
              <w:t>医</w:t>
            </w:r>
            <w:r>
              <w:rPr>
                <w:rFonts w:hint="eastAsia" w:ascii="仿宋_GB2312" w:hAnsi="宋体" w:eastAsia="仿宋_GB2312" w:cs="宋体"/>
                <w:color w:val="000000" w:themeColor="text1"/>
                <w:spacing w:val="11"/>
                <w:kern w:val="0"/>
                <w:position w:val="-2"/>
                <w:szCs w:val="21"/>
              </w:rPr>
              <w:t>师</w:t>
            </w:r>
            <w:r>
              <w:rPr>
                <w:rFonts w:hint="eastAsia" w:ascii="仿宋_GB2312" w:hAnsi="宋体" w:eastAsia="仿宋_GB2312" w:cs="宋体"/>
                <w:color w:val="000000" w:themeColor="text1"/>
                <w:spacing w:val="10"/>
                <w:kern w:val="0"/>
                <w:position w:val="-2"/>
                <w:szCs w:val="21"/>
              </w:rPr>
              <w:t>查房</w:t>
            </w:r>
            <w:r>
              <w:rPr>
                <w:rFonts w:hint="eastAsia" w:ascii="仿宋_GB2312" w:hAnsi="宋体" w:eastAsia="仿宋_GB2312" w:cs="宋体"/>
                <w:color w:val="000000" w:themeColor="text1"/>
                <w:spacing w:val="11"/>
                <w:kern w:val="0"/>
                <w:position w:val="-2"/>
                <w:szCs w:val="21"/>
              </w:rPr>
              <w:t>作</w:t>
            </w:r>
            <w:r>
              <w:rPr>
                <w:rFonts w:hint="eastAsia" w:ascii="仿宋_GB2312" w:hAnsi="宋体" w:eastAsia="仿宋_GB2312" w:cs="宋体"/>
                <w:color w:val="000000" w:themeColor="text1"/>
                <w:spacing w:val="10"/>
                <w:kern w:val="0"/>
                <w:position w:val="-2"/>
                <w:szCs w:val="21"/>
              </w:rPr>
              <w:t>出</w:t>
            </w:r>
            <w:r>
              <w:rPr>
                <w:rFonts w:hint="eastAsia" w:ascii="仿宋_GB2312" w:hAnsi="宋体" w:eastAsia="仿宋_GB2312" w:cs="宋体"/>
                <w:color w:val="000000" w:themeColor="text1"/>
                <w:spacing w:val="11"/>
                <w:kern w:val="0"/>
                <w:position w:val="-2"/>
                <w:szCs w:val="21"/>
              </w:rPr>
              <w:t>进</w:t>
            </w:r>
            <w:r>
              <w:rPr>
                <w:rFonts w:hint="eastAsia" w:ascii="仿宋_GB2312" w:hAnsi="宋体" w:eastAsia="仿宋_GB2312" w:cs="宋体"/>
                <w:color w:val="000000" w:themeColor="text1"/>
                <w:spacing w:val="10"/>
                <w:kern w:val="0"/>
                <w:position w:val="-2"/>
                <w:szCs w:val="21"/>
              </w:rPr>
              <w:t>一步</w:t>
            </w:r>
            <w:r>
              <w:rPr>
                <w:rFonts w:hint="eastAsia" w:ascii="仿宋_GB2312" w:hAnsi="宋体" w:eastAsia="仿宋_GB2312" w:cs="宋体"/>
                <w:color w:val="000000" w:themeColor="text1"/>
                <w:kern w:val="0"/>
                <w:position w:val="-2"/>
                <w:szCs w:val="21"/>
              </w:rPr>
              <w:t>的诊疗评估</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0"/>
                <w:kern w:val="0"/>
                <w:position w:val="-2"/>
                <w:szCs w:val="21"/>
              </w:rPr>
              <w:t>□运</w:t>
            </w:r>
            <w:r>
              <w:rPr>
                <w:rFonts w:hint="eastAsia" w:ascii="仿宋_GB2312" w:hAnsi="宋体" w:eastAsia="仿宋_GB2312" w:cs="宋体"/>
                <w:color w:val="000000" w:themeColor="text1"/>
                <w:spacing w:val="11"/>
                <w:kern w:val="0"/>
                <w:position w:val="-2"/>
                <w:szCs w:val="21"/>
              </w:rPr>
              <w:t>动</w:t>
            </w:r>
            <w:r>
              <w:rPr>
                <w:rFonts w:hint="eastAsia" w:ascii="仿宋_GB2312" w:hAnsi="宋体" w:eastAsia="仿宋_GB2312" w:cs="宋体"/>
                <w:color w:val="000000" w:themeColor="text1"/>
                <w:spacing w:val="10"/>
                <w:kern w:val="0"/>
                <w:position w:val="-2"/>
                <w:szCs w:val="21"/>
              </w:rPr>
              <w:t>疗法</w:t>
            </w:r>
          </w:p>
        </w:tc>
        <w:tc>
          <w:tcPr>
            <w:tcW w:w="2963"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□交代出院注意事项</w:t>
            </w:r>
            <w:r>
              <w:rPr>
                <w:rFonts w:hint="eastAsia" w:ascii="仿宋_GB2312" w:hAnsi="宋体" w:eastAsia="仿宋_GB2312" w:cs="宋体"/>
                <w:color w:val="000000" w:themeColor="text1"/>
                <w:spacing w:val="-91"/>
                <w:kern w:val="0"/>
                <w:position w:val="-1"/>
                <w:szCs w:val="21"/>
              </w:rPr>
              <w:t>、</w:t>
            </w:r>
            <w:r>
              <w:rPr>
                <w:rFonts w:hint="eastAsia" w:ascii="仿宋_GB2312" w:hAnsi="宋体" w:eastAsia="仿宋_GB2312" w:cs="宋体"/>
                <w:color w:val="000000" w:themeColor="text1"/>
                <w:kern w:val="0"/>
                <w:position w:val="-1"/>
                <w:szCs w:val="21"/>
              </w:rPr>
              <w:t>复查日</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期</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□完成出院记录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□通知出院</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□制定康复计划</w:t>
            </w:r>
            <w:r>
              <w:rPr>
                <w:rFonts w:hint="eastAsia" w:ascii="仿宋_GB2312" w:hAnsi="宋体" w:eastAsia="仿宋_GB2312" w:cs="宋体"/>
                <w:color w:val="000000" w:themeColor="text1"/>
                <w:spacing w:val="-91"/>
                <w:kern w:val="0"/>
                <w:position w:val="-2"/>
                <w:szCs w:val="21"/>
              </w:rPr>
              <w:t>，</w:t>
            </w:r>
            <w:r>
              <w:rPr>
                <w:rFonts w:hint="eastAsia" w:ascii="仿宋_GB2312" w:hAnsi="宋体" w:eastAsia="仿宋_GB2312" w:cs="宋体"/>
                <w:color w:val="000000" w:themeColor="text1"/>
                <w:kern w:val="0"/>
                <w:position w:val="-2"/>
                <w:szCs w:val="21"/>
              </w:rPr>
              <w:t>指导患者出</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院后功能锻炼</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kern w:val="0"/>
                <w:position w:val="-2"/>
                <w:szCs w:val="21"/>
              </w:rPr>
              <w:t>□开具出院诊断书</w:t>
            </w:r>
          </w:p>
        </w:tc>
      </w:tr>
      <w:tr>
        <w:tblPrEx>
          <w:tblCellMar>
            <w:top w:w="0" w:type="dxa"/>
            <w:left w:w="0" w:type="dxa"/>
            <w:bottom w:w="0" w:type="dxa"/>
            <w:right w:w="0" w:type="dxa"/>
          </w:tblCellMar>
        </w:tblPrEx>
        <w:trPr>
          <w:trHeight w:val="5766"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重点</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kern w:val="0"/>
                <w:szCs w:val="21"/>
              </w:rPr>
              <w:t>医嘱</w:t>
            </w:r>
          </w:p>
        </w:tc>
        <w:tc>
          <w:tcPr>
            <w:tcW w:w="287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hAnsi="宋体"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长期医嘱: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□专科护理常规</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□分级护理</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□饮食调摄</w:t>
            </w:r>
          </w:p>
          <w:p>
            <w:pPr>
              <w:autoSpaceDE w:val="0"/>
              <w:autoSpaceDN w:val="0"/>
              <w:adjustRightInd w:val="0"/>
              <w:rPr>
                <w:rFonts w:ascii="仿宋_GB2312" w:hAnsi="宋体"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□辨证施治</w:t>
            </w:r>
          </w:p>
          <w:p>
            <w:pPr>
              <w:autoSpaceDE w:val="0"/>
              <w:autoSpaceDN w:val="0"/>
              <w:adjustRightInd w:val="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□中药汤剂</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□中成药</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□手法治疗</w:t>
            </w:r>
          </w:p>
          <w:p>
            <w:pPr>
              <w:autoSpaceDE w:val="0"/>
              <w:autoSpaceDN w:val="0"/>
              <w:adjustRightInd w:val="0"/>
              <w:ind w:firstLine="210" w:firstLineChars="10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□松解类手法</w:t>
            </w:r>
          </w:p>
          <w:p>
            <w:pPr>
              <w:autoSpaceDE w:val="0"/>
              <w:autoSpaceDN w:val="0"/>
              <w:adjustRightInd w:val="0"/>
              <w:ind w:firstLine="210" w:firstLineChars="10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□整复类手法</w:t>
            </w:r>
          </w:p>
          <w:p>
            <w:pPr>
              <w:autoSpaceDE w:val="0"/>
              <w:autoSpaceDN w:val="0"/>
              <w:adjustRightInd w:val="0"/>
              <w:ind w:firstLine="210" w:firstLineChars="10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□结束类手法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□牵引疗法</w:t>
            </w:r>
          </w:p>
          <w:p>
            <w:pPr>
              <w:autoSpaceDE w:val="0"/>
              <w:autoSpaceDN w:val="0"/>
              <w:adjustRightInd w:val="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□物理治疗（选择1~2种）</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□针灸治疗</w:t>
            </w:r>
          </w:p>
          <w:p>
            <w:pPr>
              <w:autoSpaceDE w:val="0"/>
              <w:autoSpaceDN w:val="0"/>
              <w:adjustRightInd w:val="0"/>
              <w:ind w:firstLine="210" w:firstLineChars="10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□针刺□灸法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□其他外治法（选择1~2种）</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□对症治疗</w:t>
            </w:r>
          </w:p>
          <w:p>
            <w:pPr>
              <w:autoSpaceDE w:val="0"/>
              <w:autoSpaceDN w:val="0"/>
              <w:adjustRightInd w:val="0"/>
              <w:rPr>
                <w:rFonts w:ascii="仿宋_GB2312" w:hAnsi="宋体"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临时医嘱:</w:t>
            </w:r>
          </w:p>
          <w:p>
            <w:pPr>
              <w:autoSpaceDE w:val="0"/>
              <w:autoSpaceDN w:val="0"/>
              <w:adjustRightInd w:val="0"/>
              <w:rPr>
                <w:rFonts w:ascii="仿宋_GB2312"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□必要时复查异常项目</w:t>
            </w:r>
          </w:p>
          <w:p>
            <w:pPr>
              <w:autoSpaceDE w:val="0"/>
              <w:autoSpaceDN w:val="0"/>
              <w:adjustRightInd w:val="0"/>
              <w:rPr>
                <w:rFonts w:ascii="仿宋_GB2312"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□必要时请相关科室会诊</w:t>
            </w:r>
          </w:p>
          <w:p>
            <w:pPr>
              <w:autoSpaceDE w:val="0"/>
              <w:autoSpaceDN w:val="0"/>
              <w:adjustRightInd w:val="0"/>
              <w:rPr>
                <w:rFonts w:ascii="仿宋_GB2312"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□对症治疗</w:t>
            </w:r>
          </w:p>
        </w:tc>
        <w:tc>
          <w:tcPr>
            <w:tcW w:w="295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hAnsi="宋体" w:eastAsia="仿宋_GB2312" w:cs="宋体"/>
                <w:color w:val="000000" w:themeColor="text1"/>
                <w:kern w:val="0"/>
                <w:position w:val="-1"/>
                <w:szCs w:val="21"/>
              </w:rPr>
            </w:pPr>
            <w:r>
              <w:rPr>
                <w:rFonts w:hint="eastAsia" w:ascii="仿宋_GB2312" w:hAnsi="宋体" w:eastAsia="仿宋_GB2312" w:cs="宋体"/>
                <w:color w:val="000000" w:themeColor="text1"/>
                <w:kern w:val="0"/>
                <w:position w:val="-1"/>
                <w:szCs w:val="21"/>
              </w:rPr>
              <w:t>长期医嘱: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□专科护理常规</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□分级护理</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□饮食调摄</w:t>
            </w:r>
          </w:p>
          <w:p>
            <w:pPr>
              <w:autoSpaceDE w:val="0"/>
              <w:autoSpaceDN w:val="0"/>
              <w:adjustRightInd w:val="0"/>
              <w:rPr>
                <w:rFonts w:ascii="仿宋_GB2312" w:hAnsi="宋体"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□辨证施治</w:t>
            </w:r>
          </w:p>
          <w:p>
            <w:pPr>
              <w:autoSpaceDE w:val="0"/>
              <w:autoSpaceDN w:val="0"/>
              <w:adjustRightInd w:val="0"/>
              <w:ind w:firstLine="105" w:firstLineChars="5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□中药汤剂</w:t>
            </w:r>
          </w:p>
          <w:p>
            <w:pPr>
              <w:autoSpaceDE w:val="0"/>
              <w:autoSpaceDN w:val="0"/>
              <w:adjustRightInd w:val="0"/>
              <w:ind w:firstLine="105" w:firstLineChars="5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□中成药</w:t>
            </w:r>
          </w:p>
          <w:p>
            <w:pPr>
              <w:autoSpaceDE w:val="0"/>
              <w:autoSpaceDN w:val="0"/>
              <w:adjustRightInd w:val="0"/>
              <w:ind w:firstLine="105" w:firstLineChars="5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□手法治疗</w:t>
            </w:r>
          </w:p>
          <w:p>
            <w:pPr>
              <w:autoSpaceDE w:val="0"/>
              <w:autoSpaceDN w:val="0"/>
              <w:adjustRightInd w:val="0"/>
              <w:ind w:firstLine="210" w:firstLineChars="10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□松解类手法</w:t>
            </w:r>
          </w:p>
          <w:p>
            <w:pPr>
              <w:autoSpaceDE w:val="0"/>
              <w:autoSpaceDN w:val="0"/>
              <w:adjustRightInd w:val="0"/>
              <w:ind w:firstLine="210" w:firstLineChars="10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□整复类手法</w:t>
            </w:r>
          </w:p>
          <w:p>
            <w:pPr>
              <w:autoSpaceDE w:val="0"/>
              <w:autoSpaceDN w:val="0"/>
              <w:adjustRightInd w:val="0"/>
              <w:ind w:firstLine="210" w:firstLineChars="10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□结束类手法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□牵引疗法</w:t>
            </w:r>
          </w:p>
          <w:p>
            <w:pPr>
              <w:autoSpaceDE w:val="0"/>
              <w:autoSpaceDN w:val="0"/>
              <w:adjustRightInd w:val="0"/>
              <w:rPr>
                <w:rFonts w:ascii="仿宋_GB2312" w:eastAsia="仿宋_GB2312" w:cs="宋体"/>
                <w:color w:val="000000" w:themeColor="text1"/>
                <w:kern w:val="0"/>
                <w:position w:val="-2"/>
                <w:szCs w:val="21"/>
              </w:rPr>
            </w:pPr>
            <w:r>
              <w:rPr>
                <w:rFonts w:hint="eastAsia" w:ascii="仿宋_GB2312" w:hAnsi="宋体" w:eastAsia="仿宋_GB2312" w:cs="宋体"/>
                <w:color w:val="000000" w:themeColor="text1"/>
                <w:kern w:val="0"/>
                <w:position w:val="-2"/>
                <w:szCs w:val="21"/>
              </w:rPr>
              <w:t>□物理治疗（选择1~2种）</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□针灸治疗</w:t>
            </w:r>
          </w:p>
          <w:p>
            <w:pPr>
              <w:autoSpaceDE w:val="0"/>
              <w:autoSpaceDN w:val="0"/>
              <w:adjustRightInd w:val="0"/>
              <w:ind w:firstLine="210" w:firstLineChars="10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□针刺□灸法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□运动疗法</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临时医嘱: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□必要时复查异常项目</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□必要时请相关科室会诊</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kern w:val="0"/>
                <w:position w:val="-2"/>
                <w:szCs w:val="21"/>
              </w:rPr>
              <w:t>□对症治疗</w:t>
            </w:r>
          </w:p>
        </w:tc>
        <w:tc>
          <w:tcPr>
            <w:tcW w:w="2963"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长期医嘱: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□停止所有长期医嘱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临时医嘱</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□开具出院医嘱</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kern w:val="0"/>
                <w:position w:val="-2"/>
                <w:szCs w:val="21"/>
              </w:rPr>
              <w:t>□出院带药</w:t>
            </w:r>
          </w:p>
        </w:tc>
      </w:tr>
      <w:tr>
        <w:tblPrEx>
          <w:tblCellMar>
            <w:top w:w="0" w:type="dxa"/>
            <w:left w:w="0" w:type="dxa"/>
            <w:bottom w:w="0" w:type="dxa"/>
            <w:right w:w="0" w:type="dxa"/>
          </w:tblCellMar>
        </w:tblPrEx>
        <w:trPr>
          <w:cantSplit/>
          <w:trHeight w:val="991"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szCs w:val="21"/>
              </w:rPr>
              <w:t>主要</w:t>
            </w:r>
          </w:p>
          <w:p>
            <w:pPr>
              <w:autoSpaceDE w:val="0"/>
              <w:autoSpaceDN w:val="0"/>
              <w:adjustRightInd w:val="0"/>
              <w:jc w:val="center"/>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护理</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spacing w:val="10"/>
                <w:kern w:val="0"/>
                <w:position w:val="-1"/>
                <w:szCs w:val="21"/>
              </w:rPr>
              <w:t>工作</w:t>
            </w:r>
          </w:p>
        </w:tc>
        <w:tc>
          <w:tcPr>
            <w:tcW w:w="287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ind w:left="115" w:hanging="115" w:hangingChars="50"/>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□按照医嘱执行诊疗护理措施</w:t>
            </w:r>
          </w:p>
          <w:p>
            <w:pPr>
              <w:autoSpaceDE w:val="0"/>
              <w:autoSpaceDN w:val="0"/>
              <w:adjustRightInd w:val="0"/>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□饮食指导</w:t>
            </w:r>
          </w:p>
          <w:p>
            <w:pPr>
              <w:autoSpaceDE w:val="0"/>
              <w:autoSpaceDN w:val="0"/>
              <w:adjustRightInd w:val="0"/>
              <w:rPr>
                <w:rFonts w:ascii="仿宋_GB2312" w:eastAsia="仿宋_GB2312" w:cs="宋体"/>
                <w:color w:val="000000" w:themeColor="text1"/>
                <w:spacing w:val="10"/>
                <w:kern w:val="0"/>
                <w:position w:val="-1"/>
                <w:szCs w:val="21"/>
              </w:rPr>
            </w:pPr>
            <w:r>
              <w:rPr>
                <w:rFonts w:hint="eastAsia" w:ascii="仿宋_GB2312" w:hAnsi="宋体" w:eastAsia="仿宋_GB2312" w:cs="宋体"/>
                <w:color w:val="000000" w:themeColor="text1"/>
                <w:spacing w:val="10"/>
                <w:kern w:val="0"/>
                <w:position w:val="-1"/>
                <w:szCs w:val="21"/>
              </w:rPr>
              <w:t>□安抚疏导、健康教育</w:t>
            </w:r>
          </w:p>
        </w:tc>
        <w:tc>
          <w:tcPr>
            <w:tcW w:w="295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0"/>
                <w:kern w:val="0"/>
                <w:position w:val="-1"/>
                <w:szCs w:val="21"/>
              </w:rPr>
              <w:t>□按</w:t>
            </w:r>
            <w:r>
              <w:rPr>
                <w:rFonts w:hint="eastAsia" w:ascii="仿宋_GB2312" w:hAnsi="宋体" w:eastAsia="仿宋_GB2312" w:cs="宋体"/>
                <w:color w:val="000000" w:themeColor="text1"/>
                <w:spacing w:val="11"/>
                <w:kern w:val="0"/>
                <w:position w:val="-1"/>
                <w:szCs w:val="21"/>
              </w:rPr>
              <w:t>照</w:t>
            </w:r>
            <w:r>
              <w:rPr>
                <w:rFonts w:hint="eastAsia" w:ascii="仿宋_GB2312" w:hAnsi="宋体" w:eastAsia="仿宋_GB2312" w:cs="宋体"/>
                <w:color w:val="000000" w:themeColor="text1"/>
                <w:spacing w:val="10"/>
                <w:kern w:val="0"/>
                <w:position w:val="-1"/>
                <w:szCs w:val="21"/>
              </w:rPr>
              <w:t>医</w:t>
            </w:r>
            <w:r>
              <w:rPr>
                <w:rFonts w:hint="eastAsia" w:ascii="仿宋_GB2312" w:hAnsi="宋体" w:eastAsia="仿宋_GB2312" w:cs="宋体"/>
                <w:color w:val="000000" w:themeColor="text1"/>
                <w:spacing w:val="11"/>
                <w:kern w:val="0"/>
                <w:position w:val="-1"/>
                <w:szCs w:val="21"/>
              </w:rPr>
              <w:t>嘱</w:t>
            </w:r>
            <w:r>
              <w:rPr>
                <w:rFonts w:hint="eastAsia" w:ascii="仿宋_GB2312" w:hAnsi="宋体" w:eastAsia="仿宋_GB2312" w:cs="宋体"/>
                <w:color w:val="000000" w:themeColor="text1"/>
                <w:spacing w:val="10"/>
                <w:kern w:val="0"/>
                <w:position w:val="-1"/>
                <w:szCs w:val="21"/>
              </w:rPr>
              <w:t>执行</w:t>
            </w:r>
            <w:r>
              <w:rPr>
                <w:rFonts w:hint="eastAsia" w:ascii="仿宋_GB2312" w:hAnsi="宋体" w:eastAsia="仿宋_GB2312" w:cs="宋体"/>
                <w:color w:val="000000" w:themeColor="text1"/>
                <w:spacing w:val="11"/>
                <w:kern w:val="0"/>
                <w:position w:val="-1"/>
                <w:szCs w:val="21"/>
              </w:rPr>
              <w:t>诊</w:t>
            </w:r>
            <w:r>
              <w:rPr>
                <w:rFonts w:hint="eastAsia" w:ascii="仿宋_GB2312" w:hAnsi="宋体" w:eastAsia="仿宋_GB2312" w:cs="宋体"/>
                <w:color w:val="000000" w:themeColor="text1"/>
                <w:spacing w:val="10"/>
                <w:kern w:val="0"/>
                <w:position w:val="-1"/>
                <w:szCs w:val="21"/>
              </w:rPr>
              <w:t>疗</w:t>
            </w:r>
            <w:r>
              <w:rPr>
                <w:rFonts w:hint="eastAsia" w:ascii="仿宋_GB2312" w:hAnsi="宋体" w:eastAsia="仿宋_GB2312" w:cs="宋体"/>
                <w:color w:val="000000" w:themeColor="text1"/>
                <w:spacing w:val="11"/>
                <w:kern w:val="0"/>
                <w:position w:val="-1"/>
                <w:szCs w:val="21"/>
              </w:rPr>
              <w:t>护</w:t>
            </w:r>
            <w:r>
              <w:rPr>
                <w:rFonts w:hint="eastAsia" w:ascii="仿宋_GB2312" w:hAnsi="宋体" w:eastAsia="仿宋_GB2312" w:cs="宋体"/>
                <w:color w:val="000000" w:themeColor="text1"/>
                <w:spacing w:val="10"/>
                <w:kern w:val="0"/>
                <w:position w:val="-1"/>
                <w:szCs w:val="21"/>
              </w:rPr>
              <w:t>理措</w:t>
            </w:r>
            <w:r>
              <w:rPr>
                <w:rFonts w:hint="eastAsia" w:ascii="仿宋_GB2312" w:hAnsi="宋体" w:eastAsia="仿宋_GB2312" w:cs="宋体"/>
                <w:color w:val="000000" w:themeColor="text1"/>
                <w:kern w:val="0"/>
                <w:position w:val="-2"/>
                <w:szCs w:val="21"/>
              </w:rPr>
              <w:t>施</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□饮食指导</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kern w:val="0"/>
                <w:position w:val="-2"/>
                <w:szCs w:val="21"/>
              </w:rPr>
              <w:t>□安抚疏导、健康教育</w:t>
            </w:r>
          </w:p>
        </w:tc>
        <w:tc>
          <w:tcPr>
            <w:tcW w:w="2963"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□协助办理出院手续</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2"/>
                <w:szCs w:val="21"/>
              </w:rPr>
              <w:t>□送病人出院。</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kern w:val="0"/>
                <w:position w:val="-2"/>
                <w:szCs w:val="21"/>
              </w:rPr>
              <w:t>□交代出院后注意事项</w:t>
            </w:r>
          </w:p>
        </w:tc>
      </w:tr>
      <w:tr>
        <w:tblPrEx>
          <w:tblCellMar>
            <w:top w:w="0" w:type="dxa"/>
            <w:left w:w="0" w:type="dxa"/>
            <w:bottom w:w="0" w:type="dxa"/>
            <w:right w:w="0" w:type="dxa"/>
          </w:tblCellMar>
        </w:tblPrEx>
        <w:trPr>
          <w:trHeight w:val="1065"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szCs w:val="21"/>
              </w:rPr>
              <w:t>病情</w:t>
            </w:r>
          </w:p>
          <w:p>
            <w:pPr>
              <w:autoSpaceDE w:val="0"/>
              <w:autoSpaceDN w:val="0"/>
              <w:adjustRightInd w:val="0"/>
              <w:jc w:val="center"/>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szCs w:val="21"/>
              </w:rPr>
              <w:t>变异</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kern w:val="0"/>
                <w:szCs w:val="21"/>
              </w:rPr>
              <w:t>记录</w:t>
            </w:r>
          </w:p>
        </w:tc>
        <w:tc>
          <w:tcPr>
            <w:tcW w:w="2878" w:type="dxa"/>
            <w:tcBorders>
              <w:top w:val="single" w:color="000000" w:sz="4" w:space="0"/>
              <w:left w:val="single" w:color="000000" w:sz="4" w:space="0"/>
              <w:bottom w:val="single" w:color="000000" w:sz="4" w:space="0"/>
              <w:right w:val="single" w:color="000000" w:sz="4" w:space="0"/>
            </w:tcBorders>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spacing w:val="1"/>
                <w:kern w:val="0"/>
                <w:position w:val="-2"/>
                <w:szCs w:val="21"/>
              </w:rPr>
              <w:t>2.</w:t>
            </w:r>
          </w:p>
        </w:tc>
        <w:tc>
          <w:tcPr>
            <w:tcW w:w="2954" w:type="dxa"/>
            <w:tcBorders>
              <w:top w:val="single" w:color="000000" w:sz="4" w:space="0"/>
              <w:left w:val="single" w:color="000000" w:sz="4" w:space="0"/>
              <w:bottom w:val="single" w:color="000000" w:sz="4" w:space="0"/>
              <w:right w:val="single" w:color="000000" w:sz="4" w:space="0"/>
            </w:tcBorders>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spacing w:val="1"/>
                <w:kern w:val="0"/>
                <w:position w:val="-2"/>
                <w:szCs w:val="21"/>
              </w:rPr>
              <w:t>2.</w:t>
            </w:r>
          </w:p>
        </w:tc>
        <w:tc>
          <w:tcPr>
            <w:tcW w:w="2963" w:type="dxa"/>
            <w:tcBorders>
              <w:top w:val="single" w:color="000000" w:sz="4" w:space="0"/>
              <w:left w:val="single" w:color="000000" w:sz="4" w:space="0"/>
              <w:bottom w:val="single" w:color="000000" w:sz="4" w:space="0"/>
              <w:right w:val="single" w:color="000000" w:sz="8" w:space="0"/>
            </w:tcBorders>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adjustRightInd w:val="0"/>
              <w:rPr>
                <w:rFonts w:ascii="仿宋_GB2312" w:eastAsia="仿宋_GB2312"/>
                <w:color w:val="000000" w:themeColor="text1"/>
                <w:kern w:val="0"/>
                <w:szCs w:val="21"/>
              </w:rPr>
            </w:pPr>
            <w:r>
              <w:rPr>
                <w:rFonts w:hint="eastAsia" w:ascii="仿宋_GB2312" w:hAnsi="宋体" w:eastAsia="仿宋_GB2312" w:cs="宋体"/>
                <w:color w:val="000000" w:themeColor="text1"/>
                <w:spacing w:val="1"/>
                <w:kern w:val="0"/>
                <w:position w:val="-2"/>
                <w:szCs w:val="21"/>
              </w:rPr>
              <w:t>2.</w:t>
            </w:r>
          </w:p>
        </w:tc>
      </w:tr>
      <w:tr>
        <w:tblPrEx>
          <w:tblCellMar>
            <w:top w:w="0" w:type="dxa"/>
            <w:left w:w="0" w:type="dxa"/>
            <w:bottom w:w="0" w:type="dxa"/>
            <w:right w:w="0" w:type="dxa"/>
          </w:tblCellMar>
        </w:tblPrEx>
        <w:trPr>
          <w:trHeight w:val="903"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责任</w:t>
            </w:r>
          </w:p>
          <w:p>
            <w:pPr>
              <w:autoSpaceDE w:val="0"/>
              <w:autoSpaceDN w:val="0"/>
              <w:adjustRightInd w:val="0"/>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护士</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kern w:val="0"/>
                <w:szCs w:val="21"/>
              </w:rPr>
              <w:t>签名</w:t>
            </w:r>
          </w:p>
        </w:tc>
        <w:tc>
          <w:tcPr>
            <w:tcW w:w="287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olor w:val="000000" w:themeColor="text1"/>
                <w:kern w:val="0"/>
                <w:szCs w:val="21"/>
              </w:rPr>
            </w:pPr>
          </w:p>
        </w:tc>
        <w:tc>
          <w:tcPr>
            <w:tcW w:w="295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olor w:val="000000" w:themeColor="text1"/>
                <w:kern w:val="0"/>
                <w:szCs w:val="21"/>
              </w:rPr>
            </w:pPr>
          </w:p>
        </w:tc>
        <w:tc>
          <w:tcPr>
            <w:tcW w:w="2963"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rPr>
                <w:rFonts w:ascii="仿宋_GB2312" w:eastAsia="仿宋_GB2312"/>
                <w:color w:val="000000" w:themeColor="text1"/>
                <w:kern w:val="0"/>
                <w:szCs w:val="21"/>
              </w:rPr>
            </w:pPr>
          </w:p>
        </w:tc>
      </w:tr>
      <w:tr>
        <w:tblPrEx>
          <w:tblCellMar>
            <w:top w:w="0" w:type="dxa"/>
            <w:left w:w="0" w:type="dxa"/>
            <w:bottom w:w="0" w:type="dxa"/>
            <w:right w:w="0" w:type="dxa"/>
          </w:tblCellMar>
        </w:tblPrEx>
        <w:trPr>
          <w:trHeight w:val="990" w:hRule="exact"/>
          <w:jc w:val="center"/>
        </w:trPr>
        <w:tc>
          <w:tcPr>
            <w:tcW w:w="843" w:type="dxa"/>
            <w:tcBorders>
              <w:top w:val="single" w:color="000000" w:sz="4" w:space="0"/>
              <w:left w:val="single" w:color="000000" w:sz="8" w:space="0"/>
              <w:bottom w:val="single" w:color="000000" w:sz="4" w:space="0"/>
              <w:right w:val="single" w:color="000000" w:sz="4" w:space="0"/>
            </w:tcBorders>
            <w:vAlign w:val="center"/>
          </w:tcPr>
          <w:p>
            <w:pPr>
              <w:autoSpaceDE w:val="0"/>
              <w:autoSpaceDN w:val="0"/>
              <w:adjustRightInd w:val="0"/>
              <w:jc w:val="center"/>
              <w:rPr>
                <w:rFonts w:hint="eastAsia"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医师</w:t>
            </w:r>
          </w:p>
          <w:p>
            <w:pPr>
              <w:autoSpaceDE w:val="0"/>
              <w:autoSpaceDN w:val="0"/>
              <w:adjustRightInd w:val="0"/>
              <w:jc w:val="center"/>
              <w:rPr>
                <w:rFonts w:ascii="仿宋_GB2312" w:eastAsia="仿宋_GB2312"/>
                <w:color w:val="000000" w:themeColor="text1"/>
                <w:kern w:val="0"/>
                <w:szCs w:val="21"/>
              </w:rPr>
            </w:pPr>
            <w:r>
              <w:rPr>
                <w:rFonts w:hint="eastAsia" w:ascii="仿宋_GB2312" w:hAnsi="宋体" w:eastAsia="仿宋_GB2312" w:cs="宋体"/>
                <w:color w:val="000000" w:themeColor="text1"/>
                <w:kern w:val="0"/>
                <w:szCs w:val="21"/>
              </w:rPr>
              <w:t>签名</w:t>
            </w:r>
          </w:p>
        </w:tc>
        <w:tc>
          <w:tcPr>
            <w:tcW w:w="287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olor w:val="000000" w:themeColor="text1"/>
                <w:kern w:val="0"/>
                <w:szCs w:val="21"/>
              </w:rPr>
            </w:pPr>
          </w:p>
        </w:tc>
        <w:tc>
          <w:tcPr>
            <w:tcW w:w="295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rPr>
                <w:rFonts w:ascii="仿宋_GB2312" w:eastAsia="仿宋_GB2312"/>
                <w:color w:val="000000" w:themeColor="text1"/>
                <w:kern w:val="0"/>
                <w:szCs w:val="21"/>
              </w:rPr>
            </w:pPr>
          </w:p>
        </w:tc>
        <w:tc>
          <w:tcPr>
            <w:tcW w:w="2963"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rPr>
                <w:rFonts w:ascii="仿宋_GB2312" w:eastAsia="仿宋_GB2312"/>
                <w:color w:val="000000" w:themeColor="text1"/>
                <w:kern w:val="0"/>
                <w:szCs w:val="21"/>
              </w:rPr>
            </w:pPr>
          </w:p>
        </w:tc>
      </w:tr>
    </w:tbl>
    <w:p>
      <w:pPr>
        <w:widowControl/>
        <w:tabs>
          <w:tab w:val="left" w:pos="6575"/>
        </w:tabs>
        <w:spacing w:line="600" w:lineRule="exact"/>
        <w:rPr>
          <w:rFonts w:ascii="方正小标宋简体" w:hAnsi="方正小标宋简体" w:eastAsia="方正小标宋简体" w:cs="Times New Roman"/>
          <w:color w:val="000000" w:themeColor="text1"/>
          <w:sz w:val="36"/>
        </w:rPr>
        <w:sectPr>
          <w:pgSz w:w="11850" w:h="16840"/>
          <w:pgMar w:top="1134" w:right="1134" w:bottom="1134" w:left="1134" w:header="720" w:footer="720" w:gutter="0"/>
          <w:pgNumType w:fmt="numberInDash"/>
          <w:cols w:space="720" w:num="1"/>
        </w:sectPr>
      </w:pPr>
    </w:p>
    <w:p>
      <w:pPr>
        <w:widowControl/>
        <w:tabs>
          <w:tab w:val="left" w:pos="6575"/>
        </w:tabs>
        <w:spacing w:line="600" w:lineRule="exact"/>
        <w:rPr>
          <w:rFonts w:ascii="黑体" w:hAnsi="黑体" w:eastAsia="黑体" w:cs="Times New Roman"/>
          <w:color w:val="000000" w:themeColor="text1"/>
          <w:sz w:val="36"/>
        </w:rPr>
      </w:pPr>
      <w:r>
        <w:rPr>
          <w:rFonts w:hint="eastAsia" w:ascii="黑体" w:hAnsi="黑体" w:eastAsia="黑体" w:cs="Times New Roman"/>
          <w:color w:val="000000" w:themeColor="text1"/>
          <w:sz w:val="36"/>
        </w:rPr>
        <w:t>3.面瘫病（面神经麻痹）</w:t>
      </w:r>
      <w:r>
        <w:rPr>
          <w:rFonts w:hint="eastAsia" w:ascii="黑体" w:hAnsi="黑体" w:eastAsia="黑体" w:cs="Times New Roman"/>
          <w:color w:val="000000" w:themeColor="text1"/>
          <w:sz w:val="36"/>
        </w:rPr>
        <w:tab/>
      </w:r>
    </w:p>
    <w:p>
      <w:pPr>
        <w:widowControl/>
        <w:spacing w:line="600" w:lineRule="exact"/>
        <w:rPr>
          <w:rFonts w:ascii="方正小标宋简体" w:hAnsi="方正小标宋简体" w:eastAsia="方正小标宋简体" w:cs="Times New Roman"/>
          <w:color w:val="000000" w:themeColor="text1"/>
          <w:sz w:val="36"/>
        </w:rPr>
      </w:pPr>
    </w:p>
    <w:p>
      <w:pPr>
        <w:widowControl/>
        <w:spacing w:line="400" w:lineRule="exact"/>
        <w:jc w:val="center"/>
        <w:rPr>
          <w:rFonts w:ascii="仿宋_GB2312" w:hAnsi="方正小标宋简体" w:eastAsia="仿宋_GB2312" w:cs="Times New Roman"/>
          <w:b/>
          <w:color w:val="000000" w:themeColor="text1"/>
          <w:sz w:val="32"/>
          <w:szCs w:val="32"/>
        </w:rPr>
      </w:pPr>
      <w:r>
        <w:rPr>
          <w:rFonts w:hint="eastAsia" w:ascii="仿宋_GB2312" w:hAnsi="方正小标宋简体" w:eastAsia="仿宋_GB2312" w:cs="Times New Roman"/>
          <w:b/>
          <w:color w:val="000000" w:themeColor="text1"/>
          <w:sz w:val="32"/>
          <w:szCs w:val="32"/>
        </w:rPr>
        <w:t>一、临床路径标准治疗流程</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一、面瘫（面神经炎）中医实施性临床路径标准住院流程</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（一）适用对象</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中医诊断：第一诊断为面瘫（TCD 编码：BNV120） 。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西医诊断：第一诊断为面神经炎（ICD-10 编码：G51.802） 。</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（二）诊断依据</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1.疾病诊断</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（1）中医诊断标准 ： 参照普通高等教 育 “十五” 国家级规划教 材 《针灸学 》（石学敏主编，中国中医药出版社出版社，2007 年）。</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（2）西医诊断标准：参照普通高等教育“十五”国家级规划教材《神经病学》第五版（王维治主编，人民卫生出版社，2004 年）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2.疾病分期</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（1）急性期：发病 15 天以内。</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（2）恢复期：发病 16 天至 6 个月。</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（3）联动期和痉挛期：发病 6 个月以上。</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3.证候诊断 参照 “ 国家中医药管理局‘ 十一五 ’重点专科协作组面瘫（面神经炎）诊疗方案”。面瘫（面神经炎）临床常见证候：</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（1）风寒阻络证:突然口眼歪斜，眼睑闭合不全，兼有面部受寒史，舌淡，苔薄白，脉浮紧。</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（2）风热阻络证:突然口眼歪斜，眼睑闭合不全，继发于感冒发热或咽部感染史，舌红苔黄腻，脉浮数。</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（3）风痰阻络证:突然口眼歪斜，眼睑闭合不全,或面部抽搐，面部麻木作胀，伴头重昏蒙，胸闷呕恶，舌胖大，苔白腻，脉弦滑。</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（4）气虚血瘀证:口眼歪斜，眼睑闭合不全日久不愈，面肌时有抽搐，舌淡紫，苔薄白，脉细涩。</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 xml:space="preserve">（三）治疗方案的选择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参照“国家中医药管理局‘ 十一五 ’重点专科协作组面瘫（面神经炎）诊疗方案”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1.诊断明确，第一诊断为面瘫（面神经炎）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2.患者适合并接受中医治疗。</w:t>
      </w:r>
    </w:p>
    <w:p>
      <w:pPr>
        <w:widowControl/>
        <w:spacing w:line="400" w:lineRule="exact"/>
        <w:ind w:firstLine="481"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b/>
          <w:color w:val="000000" w:themeColor="text1"/>
          <w:sz w:val="24"/>
        </w:rPr>
        <w:t>（四）标准住院日</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≤20天。</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（五）进入路径标准</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1.第一诊断必须符合面瘫（TCD 编码： BNV120） 和面神经炎（ICD-10编码：G51.802 ）的患者。</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2.患者同时具有其他疾病，若在治疗期间无需特殊处理，也不影响第一诊断的临床路径流程实施时，可以进入本路径。</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3.因格林巴利综合征、耳源性疾病、 腮腺炎、颌后化脓性淋巴结炎、神经lyme病、后颅窝肿瘤或脑膜炎、听神经瘤、小脑桥脑脚蛛网膜炎、桥脑梗死及出血等导致的周围性面瘫或各种原因导致的中枢性面瘫患者，不进入本路径。</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 xml:space="preserve">（六）中医证候学观察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四诊合参，收集该病种不证候的主症、次症、舌、脉特点。注意证候的动态变化。</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（七）检查项目</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1.必需的检查项目</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（1）血常规、尿常规、粪常规、血糖、血脂等。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（2）头颅CT(脑干薄层扫描)、心电图。</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2.可选择的检查项目</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根据病情需要而定，如胸部X线、腹部B超、颅脑MRI、面神经肌电图等。</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（八）治疗方法</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1.辨证选择口服中药汤剂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风寒阻络证：祛风散寒，温经通络。</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推荐方药：麻黄附子细辛汤加减。炙麻黄、熟附子、细辛、荆芥、防风、白 芷、藁本、桂枝、甘草等。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风热阻络证：祛风清热，活血通络。</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推荐方药：大秦艽汤加减。秦艽、当归、蝉蜕、赤白芍、金银花、连翘各、 防风，板蓝根、地龙、生地、石膏等。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风痰阻络证：祛风化痰，通络止痉。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推荐方药：牵正散加减。白附子、白芥子、僵蚕、全蝎、防风、白芷、天麻、 胆南星、陈皮等。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气虚血瘀证：益气活血，通络止痉。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推荐方药：补阳还五汤加减。黄芪、党参、鸡血藤、当归、川芎、赤芍、桃 仁、红花、地龙、全蝎、僵蚕等。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中成药：</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根据中医证候，辩证使用中药静脉注射液如丹参、灯盏花素等，口服中成药如牵正散、人参再造丸、大活络胶囊等。</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2.中医特色疗法：</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（1）针灸治疗：取手足阳明和手足太阳经穴为主。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主穴：攒竹 鱼腰 阳白 四白 颧髎 颊车 地仓 合谷 昆仑。</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配穴：风寒证者，加风池；风热证者，加曲池；恢复期，加足三里；人中沟歪斜者，加水沟；鼻唇沟浅者，加迎香。 </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操作：面部腧穴均行平补平泻法，恢复期可加灸法。在急性期，面部穴位手法不宜过重，针刺不宜过深，取穴不宜过多，肢体远端的腧穴行泻法且手法宜重；在恢复期，肢体远端的足三里施行补法，合谷行平补平泻法。余穴均用泻法。</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（2）电针：取地仓、颊车、阳白、合谷等穴，通电5～10分钟，通电量以患者感到舒适、面部肌肉微见跳动为宜。如见牙齿咬嚼者，为针刺过深，刺中咬肌所致，应将针退出重刺。</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（3）推拿治疗：患者改坐位，医生站立其身后，以一指禅推法或揉法，取穴风池、天柱及项部，3-5分钟。</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4.内科基础治疗:(必要时)</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 （1）脱水治疗</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 （2）营养神经治疗</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 （3）改善循环药物应用</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 xml:space="preserve"> （4）其他内科治疗</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（九）出院标准</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1.临床症状消失或明显好转，面肌功能障碍恢复或大部分恢复。</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2.症状总积分较治疗前下降 30 ％以上。</w:t>
      </w:r>
    </w:p>
    <w:p>
      <w:pPr>
        <w:widowControl/>
        <w:spacing w:line="400" w:lineRule="exact"/>
        <w:ind w:firstLine="481" w:firstLineChars="200"/>
        <w:rPr>
          <w:rFonts w:ascii="仿宋_GB2312" w:hAnsi="仿宋_GB2312" w:eastAsia="仿宋_GB2312" w:cs="Times New Roman"/>
          <w:b/>
          <w:color w:val="000000" w:themeColor="text1"/>
          <w:sz w:val="24"/>
        </w:rPr>
      </w:pPr>
      <w:r>
        <w:rPr>
          <w:rFonts w:hint="eastAsia" w:ascii="仿宋_GB2312" w:hAnsi="仿宋_GB2312" w:eastAsia="仿宋_GB2312" w:cs="Times New Roman"/>
          <w:b/>
          <w:color w:val="000000" w:themeColor="text1"/>
          <w:sz w:val="24"/>
        </w:rPr>
        <w:t>（十）变异及原因分析</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1.治疗期间合并其他疾病，需要其他特殊治疗，退出本路径。</w:t>
      </w:r>
    </w:p>
    <w:p>
      <w:pPr>
        <w:widowControl/>
        <w:spacing w:line="400" w:lineRule="exact"/>
        <w:ind w:firstLine="480" w:firstLineChars="200"/>
        <w:rPr>
          <w:rFonts w:ascii="仿宋_GB2312" w:hAnsi="仿宋_GB2312" w:eastAsia="仿宋_GB2312" w:cs="Times New Roman"/>
          <w:color w:val="000000" w:themeColor="text1"/>
          <w:sz w:val="24"/>
        </w:rPr>
      </w:pPr>
      <w:r>
        <w:rPr>
          <w:rFonts w:hint="eastAsia" w:ascii="仿宋_GB2312" w:hAnsi="仿宋_GB2312" w:eastAsia="仿宋_GB2312" w:cs="Times New Roman"/>
          <w:color w:val="000000" w:themeColor="text1"/>
          <w:sz w:val="24"/>
        </w:rPr>
        <w:t>2.因患者及其家属意愿而影响本路径执行，退出本路径。</w:t>
      </w:r>
    </w:p>
    <w:p>
      <w:pPr>
        <w:autoSpaceDE w:val="0"/>
        <w:autoSpaceDN w:val="0"/>
        <w:jc w:val="center"/>
        <w:rPr>
          <w:rFonts w:ascii="方正小标宋简体" w:hAnsi="方正小标宋简体" w:eastAsia="方正小标宋简体"/>
          <w:color w:val="000000" w:themeColor="text1"/>
          <w:sz w:val="36"/>
          <w:lang w:val="zh-CN"/>
        </w:rPr>
        <w:sectPr>
          <w:pgSz w:w="11850" w:h="16840"/>
          <w:pgMar w:top="1984" w:right="1587" w:bottom="1984" w:left="1587" w:header="720" w:footer="720" w:gutter="0"/>
          <w:pgNumType w:fmt="numberInDash"/>
          <w:cols w:space="720" w:num="1"/>
        </w:sectPr>
      </w:pPr>
    </w:p>
    <w:p>
      <w:pPr>
        <w:autoSpaceDE w:val="0"/>
        <w:autoSpaceDN w:val="0"/>
        <w:jc w:val="center"/>
        <w:rPr>
          <w:rFonts w:ascii="仿宋_GB2312" w:hAnsi="方正小标宋简体" w:eastAsia="仿宋_GB2312" w:cs="Times New Roman"/>
          <w:b/>
          <w:color w:val="000000" w:themeColor="text1"/>
          <w:sz w:val="32"/>
          <w:szCs w:val="32"/>
        </w:rPr>
      </w:pPr>
      <w:r>
        <w:rPr>
          <w:rFonts w:hint="eastAsia" w:ascii="仿宋_GB2312" w:hAnsi="方正小标宋简体" w:eastAsia="仿宋_GB2312" w:cs="Times New Roman"/>
          <w:b/>
          <w:color w:val="000000" w:themeColor="text1"/>
          <w:sz w:val="32"/>
          <w:szCs w:val="32"/>
          <w:lang w:val="zh-CN"/>
        </w:rPr>
        <w:t>二、面瘫病（面神经麻痹）日间病床临床路径表单</w:t>
      </w:r>
    </w:p>
    <w:p>
      <w:pPr>
        <w:autoSpaceDE w:val="0"/>
        <w:autoSpaceDN w:val="0"/>
        <w:rPr>
          <w:rFonts w:ascii="仿宋_GB2312" w:hAnsi="仿宋_GB2312" w:eastAsia="仿宋_GB2312" w:cs="Times New Roman"/>
          <w:color w:val="000000" w:themeColor="text1"/>
          <w:sz w:val="24"/>
          <w:lang w:val="zh-CN"/>
        </w:rPr>
      </w:pPr>
      <w:r>
        <w:rPr>
          <w:rFonts w:hint="eastAsia" w:ascii="仿宋_GB2312" w:hAnsi="仿宋_GB2312" w:eastAsia="仿宋_GB2312" w:cs="Times New Roman"/>
          <w:color w:val="000000" w:themeColor="text1"/>
          <w:sz w:val="24"/>
          <w:lang w:val="zh-CN"/>
        </w:rPr>
        <w:t xml:space="preserve">适用对象：第一诊断为面瘫（TCD 编 码：BNV120） </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标准住院日：≤20天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10772" w:type="dxa"/>
        <w:jc w:val="center"/>
        <w:tblLayout w:type="fixed"/>
        <w:tblCellMar>
          <w:top w:w="0" w:type="dxa"/>
          <w:left w:w="108" w:type="dxa"/>
          <w:bottom w:w="0" w:type="dxa"/>
          <w:right w:w="108" w:type="dxa"/>
        </w:tblCellMar>
      </w:tblPr>
      <w:tblGrid>
        <w:gridCol w:w="969"/>
        <w:gridCol w:w="3816"/>
        <w:gridCol w:w="2520"/>
        <w:gridCol w:w="3467"/>
      </w:tblGrid>
      <w:tr>
        <w:tblPrEx>
          <w:tblCellMar>
            <w:top w:w="0" w:type="dxa"/>
            <w:left w:w="108" w:type="dxa"/>
            <w:bottom w:w="0" w:type="dxa"/>
            <w:right w:w="108" w:type="dxa"/>
          </w:tblCellMar>
        </w:tblPrEx>
        <w:trPr>
          <w:trHeight w:val="450"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时间</w:t>
            </w:r>
          </w:p>
        </w:tc>
        <w:tc>
          <w:tcPr>
            <w:tcW w:w="3816"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Times New Roman" w:eastAsia="仿宋_GB2312" w:cs="Times New Roman"/>
                <w:color w:val="000000" w:themeColor="text1"/>
                <w:szCs w:val="21"/>
              </w:rPr>
              <w:t>（第1天）</w:t>
            </w:r>
          </w:p>
        </w:tc>
        <w:tc>
          <w:tcPr>
            <w:tcW w:w="2520"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Times New Roman" w:eastAsia="仿宋_GB2312" w:cs="Times New Roman"/>
                <w:color w:val="000000" w:themeColor="text1"/>
                <w:szCs w:val="21"/>
              </w:rPr>
              <w:t>（第2天）</w:t>
            </w:r>
          </w:p>
        </w:tc>
        <w:tc>
          <w:tcPr>
            <w:tcW w:w="3467"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Times New Roman" w:eastAsia="仿宋_GB2312" w:cs="Times New Roman"/>
                <w:color w:val="000000" w:themeColor="text1"/>
                <w:szCs w:val="21"/>
              </w:rPr>
              <w:t>（第3-6天）</w:t>
            </w:r>
          </w:p>
        </w:tc>
      </w:tr>
      <w:tr>
        <w:tblPrEx>
          <w:tblCellMar>
            <w:top w:w="0" w:type="dxa"/>
            <w:left w:w="108" w:type="dxa"/>
            <w:bottom w:w="0" w:type="dxa"/>
            <w:right w:w="108" w:type="dxa"/>
          </w:tblCellMar>
        </w:tblPrEx>
        <w:trPr>
          <w:trHeight w:val="1818"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主要</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诊疗</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工作</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□询问病史与体格检查</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□完成初步诊断及评估</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□确定常规治疗方案</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□完成首次病程记录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□完成入院记录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□与患者及家属沟通病情。</w:t>
            </w:r>
          </w:p>
          <w:p>
            <w:pPr>
              <w:tabs>
                <w:tab w:val="left" w:pos="840"/>
              </w:tabs>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□初步拟定治疗方案，开始面瘫“常规治疗”</w:t>
            </w: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□采集中医四诊信息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□进行中医证候判断</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□防治并发症</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□完成病程记录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□上级医师查房</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□完善入院检查</w:t>
            </w: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□上级医师查房与诊疗评估 ， 明确是否出院</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□完成上级医师查房记录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□采集中医四诊信息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□进行中医证候判断</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□进行健康宣教</w:t>
            </w:r>
          </w:p>
        </w:tc>
      </w:tr>
      <w:tr>
        <w:tblPrEx>
          <w:tblCellMar>
            <w:top w:w="0" w:type="dxa"/>
            <w:left w:w="108" w:type="dxa"/>
            <w:bottom w:w="0" w:type="dxa"/>
            <w:right w:w="108" w:type="dxa"/>
          </w:tblCellMar>
        </w:tblPrEx>
        <w:trPr>
          <w:trHeight w:val="2461"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重点</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医嘱</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长期医嘱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□内科护理常规</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□分级护理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□饮食 普食</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□辨证施治</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□中药汤剂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□中成药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□特色治疗</w:t>
            </w:r>
            <w:r>
              <w:rPr>
                <w:rFonts w:hint="eastAsia" w:ascii="仿宋_GB2312" w:hAnsi="仿宋_GB2312" w:eastAsia="仿宋_GB2312" w:cs="Times New Roman"/>
                <w:color w:val="000000" w:themeColor="text1"/>
                <w:szCs w:val="21"/>
              </w:rPr>
              <w:t>（≥1-2种）</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针灸</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□电针</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□推拿</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院内制剂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□内科基础治疗（必要时）</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□其他治疗</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头颅CT</w:t>
            </w:r>
            <w:r>
              <w:rPr>
                <w:rFonts w:hint="eastAsia" w:ascii="仿宋_GB2312" w:hAnsi="仿宋_GB2312" w:eastAsia="仿宋_GB2312" w:cs="Times New Roman"/>
                <w:color w:val="000000" w:themeColor="text1"/>
                <w:szCs w:val="21"/>
                <w:lang w:val="zh-CN"/>
              </w:rPr>
              <w:t>□血常规</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□尿常规□粪常规</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生化系列</w:t>
            </w:r>
            <w:r>
              <w:rPr>
                <w:rFonts w:hint="eastAsia" w:ascii="仿宋_GB2312" w:hAnsi="仿宋_GB2312" w:eastAsia="仿宋_GB2312" w:cs="Times New Roman"/>
                <w:color w:val="000000" w:themeColor="text1"/>
                <w:szCs w:val="21"/>
                <w:lang w:val="zh-CN"/>
              </w:rPr>
              <w:t>□心电图</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□胸部</w:t>
            </w:r>
            <w:r>
              <w:rPr>
                <w:rFonts w:hint="eastAsia" w:ascii="仿宋_GB2312" w:hAnsi="仿宋_GB2312" w:eastAsia="仿宋_GB2312" w:cs="Times New Roman"/>
                <w:color w:val="000000" w:themeColor="text1"/>
                <w:szCs w:val="21"/>
              </w:rPr>
              <w:t>X</w:t>
            </w:r>
            <w:r>
              <w:rPr>
                <w:rFonts w:hint="eastAsia" w:ascii="仿宋_GB2312" w:hAnsi="仿宋_GB2312" w:eastAsia="仿宋_GB2312" w:cs="Times New Roman"/>
                <w:color w:val="000000" w:themeColor="text1"/>
                <w:szCs w:val="21"/>
                <w:lang w:val="zh-CN"/>
              </w:rPr>
              <w:t>线片</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腹部B超</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头颅MRI</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面神经电图</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其他</w:t>
            </w:r>
            <w:r>
              <w:rPr>
                <w:rFonts w:hint="eastAsia" w:ascii="仿宋_GB2312" w:hAnsi="仿宋_GB2312" w:eastAsia="仿宋_GB2312" w:cs="Times New Roman"/>
                <w:color w:val="000000" w:themeColor="text1"/>
                <w:szCs w:val="21"/>
                <w:lang w:val="zh-CN"/>
              </w:rPr>
              <w:t>检查</w:t>
            </w: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长期医嘱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□内科护理常规</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□分级护理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□饮食 普食</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□辨证施治</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□中药汤剂</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□中成药</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□特色治疗</w:t>
            </w:r>
            <w:r>
              <w:rPr>
                <w:rFonts w:hint="eastAsia" w:ascii="仿宋_GB2312" w:hAnsi="仿宋_GB2312" w:eastAsia="仿宋_GB2312" w:cs="Times New Roman"/>
                <w:color w:val="000000" w:themeColor="text1"/>
                <w:szCs w:val="21"/>
              </w:rPr>
              <w:t>（≥1-2种）</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针灸</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□电针</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□推拿</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院内制剂</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□内科基础治疗（必要时）</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□继续完善入院检查</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□处理检查结果异常的项目</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其他医嘱</w:t>
            </w: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长期医嘱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□内科护理常规</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□分级护理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xml:space="preserve">□饮食 </w:t>
            </w:r>
            <w:r>
              <w:rPr>
                <w:rFonts w:hint="eastAsia" w:ascii="仿宋_GB2312" w:hAnsi="仿宋_GB2312" w:eastAsia="仿宋_GB2312" w:cs="Times New Roman"/>
                <w:color w:val="000000" w:themeColor="text1"/>
                <w:szCs w:val="21"/>
              </w:rPr>
              <w:t>普</w:t>
            </w:r>
            <w:r>
              <w:rPr>
                <w:rFonts w:hint="eastAsia" w:ascii="仿宋_GB2312" w:hAnsi="仿宋_GB2312" w:eastAsia="仿宋_GB2312" w:cs="Times New Roman"/>
                <w:color w:val="000000" w:themeColor="text1"/>
                <w:szCs w:val="21"/>
                <w:lang w:val="zh-CN"/>
              </w:rPr>
              <w:t>食</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□辨证施治</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□中药汤剂</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□中成药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□特色治疗</w:t>
            </w:r>
            <w:r>
              <w:rPr>
                <w:rFonts w:hint="eastAsia" w:ascii="仿宋_GB2312" w:hAnsi="仿宋_GB2312" w:eastAsia="仿宋_GB2312" w:cs="Times New Roman"/>
                <w:color w:val="000000" w:themeColor="text1"/>
                <w:szCs w:val="21"/>
              </w:rPr>
              <w:t>（≥1-2种）</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针灸</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□电针</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口推拿</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xml:space="preserve"> □</w:t>
            </w:r>
            <w:r>
              <w:rPr>
                <w:rFonts w:hint="eastAsia" w:ascii="仿宋_GB2312" w:hAnsi="仿宋_GB2312" w:eastAsia="仿宋_GB2312" w:cs="Times New Roman"/>
                <w:color w:val="000000" w:themeColor="text1"/>
                <w:szCs w:val="21"/>
              </w:rPr>
              <w:t xml:space="preserve"> 院内制剂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□内科基础治疗（必要时）</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□复查并处理检查结果异常的项目</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其他医嘱</w:t>
            </w:r>
          </w:p>
        </w:tc>
      </w:tr>
      <w:tr>
        <w:tblPrEx>
          <w:tblCellMar>
            <w:top w:w="0" w:type="dxa"/>
            <w:left w:w="108" w:type="dxa"/>
            <w:bottom w:w="0" w:type="dxa"/>
            <w:right w:w="108" w:type="dxa"/>
          </w:tblCellMar>
        </w:tblPrEx>
        <w:trPr>
          <w:trHeight w:val="1228"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主要</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护理</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工作</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tabs>
                <w:tab w:val="left" w:pos="780"/>
              </w:tabs>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□护理常规</w:t>
            </w:r>
          </w:p>
          <w:p>
            <w:pPr>
              <w:tabs>
                <w:tab w:val="left" w:pos="780"/>
              </w:tabs>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□完成护理记录</w:t>
            </w:r>
          </w:p>
          <w:p>
            <w:pPr>
              <w:tabs>
                <w:tab w:val="left" w:pos="780"/>
              </w:tabs>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□分级护理</w:t>
            </w:r>
          </w:p>
          <w:p>
            <w:pPr>
              <w:tabs>
                <w:tab w:val="left" w:pos="780"/>
              </w:tabs>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□观察并记录病情变化及救治过程</w:t>
            </w: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tabs>
                <w:tab w:val="left" w:pos="780"/>
              </w:tabs>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□完成辨证施护</w:t>
            </w:r>
          </w:p>
          <w:p>
            <w:pPr>
              <w:tabs>
                <w:tab w:val="left" w:pos="780"/>
              </w:tabs>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□心理护理</w:t>
            </w:r>
          </w:p>
          <w:p>
            <w:pPr>
              <w:tabs>
                <w:tab w:val="left" w:pos="780"/>
              </w:tabs>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□生活护理</w:t>
            </w:r>
          </w:p>
          <w:p>
            <w:pPr>
              <w:tabs>
                <w:tab w:val="left" w:pos="780"/>
              </w:tabs>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□饮食指导</w:t>
            </w: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□完成辨证施护</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□心理护理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□生活护理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□配合健康宣教</w:t>
            </w:r>
          </w:p>
        </w:tc>
      </w:tr>
      <w:tr>
        <w:tblPrEx>
          <w:tblCellMar>
            <w:top w:w="0" w:type="dxa"/>
            <w:left w:w="108" w:type="dxa"/>
            <w:bottom w:w="0" w:type="dxa"/>
            <w:right w:w="108" w:type="dxa"/>
          </w:tblCellMar>
        </w:tblPrEx>
        <w:trPr>
          <w:trHeight w:val="842"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病情</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变异</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记录</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r>
      <w:tr>
        <w:tblPrEx>
          <w:tblCellMar>
            <w:top w:w="0" w:type="dxa"/>
            <w:left w:w="108" w:type="dxa"/>
            <w:bottom w:w="0" w:type="dxa"/>
            <w:right w:w="108" w:type="dxa"/>
          </w:tblCellMar>
        </w:tblPrEx>
        <w:trPr>
          <w:trHeight w:val="550"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护士</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签名</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r>
      <w:tr>
        <w:tblPrEx>
          <w:tblCellMar>
            <w:top w:w="0" w:type="dxa"/>
            <w:left w:w="108" w:type="dxa"/>
            <w:bottom w:w="0" w:type="dxa"/>
            <w:right w:w="108" w:type="dxa"/>
          </w:tblCellMar>
        </w:tblPrEx>
        <w:trPr>
          <w:trHeight w:val="134" w:hRule="atLeast"/>
          <w:jc w:val="center"/>
        </w:trPr>
        <w:tc>
          <w:tcPr>
            <w:tcW w:w="969"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医师</w:t>
            </w:r>
          </w:p>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签名</w:t>
            </w:r>
          </w:p>
        </w:tc>
        <w:tc>
          <w:tcPr>
            <w:tcW w:w="381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520"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3467"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r>
    </w:tbl>
    <w:p>
      <w:pPr>
        <w:rPr>
          <w:rFonts w:ascii="宋体"/>
          <w:color w:val="000000" w:themeColor="text1"/>
        </w:rPr>
        <w:sectPr>
          <w:pgSz w:w="11850" w:h="16840"/>
          <w:pgMar w:top="1134" w:right="1134" w:bottom="1134" w:left="1134" w:header="720" w:footer="720" w:gutter="0"/>
          <w:pgNumType w:fmt="numberInDash"/>
          <w:cols w:space="720" w:num="1"/>
        </w:sectPr>
      </w:pPr>
    </w:p>
    <w:tbl>
      <w:tblPr>
        <w:tblStyle w:val="10"/>
        <w:tblW w:w="10772" w:type="dxa"/>
        <w:jc w:val="center"/>
        <w:tblLayout w:type="fixed"/>
        <w:tblCellMar>
          <w:top w:w="0" w:type="dxa"/>
          <w:left w:w="108" w:type="dxa"/>
          <w:bottom w:w="0" w:type="dxa"/>
          <w:right w:w="108" w:type="dxa"/>
        </w:tblCellMar>
      </w:tblPr>
      <w:tblGrid>
        <w:gridCol w:w="1306"/>
        <w:gridCol w:w="2568"/>
        <w:gridCol w:w="3539"/>
        <w:gridCol w:w="3359"/>
      </w:tblGrid>
      <w:tr>
        <w:tblPrEx>
          <w:tblCellMar>
            <w:top w:w="0" w:type="dxa"/>
            <w:left w:w="108" w:type="dxa"/>
            <w:bottom w:w="0" w:type="dxa"/>
            <w:right w:w="108" w:type="dxa"/>
          </w:tblCellMar>
        </w:tblPrEx>
        <w:trPr>
          <w:trHeight w:val="692"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日期</w:t>
            </w:r>
          </w:p>
        </w:tc>
        <w:tc>
          <w:tcPr>
            <w:tcW w:w="2094"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rPr>
            </w:pPr>
            <w:r>
              <w:rPr>
                <w:rFonts w:hint="eastAsia" w:ascii="仿宋_GB2312" w:hAnsi="Times New Roman" w:eastAsia="仿宋_GB2312" w:cs="Times New Roman"/>
                <w:color w:val="000000" w:themeColor="text1"/>
                <w:szCs w:val="21"/>
              </w:rPr>
              <w:t>（7-10天）</w:t>
            </w:r>
          </w:p>
        </w:tc>
        <w:tc>
          <w:tcPr>
            <w:tcW w:w="2886"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rPr>
            </w:pPr>
            <w:r>
              <w:rPr>
                <w:rFonts w:hint="eastAsia" w:ascii="仿宋_GB2312" w:hAnsi="Times New Roman" w:eastAsia="仿宋_GB2312" w:cs="Times New Roman"/>
                <w:color w:val="000000" w:themeColor="text1"/>
                <w:szCs w:val="21"/>
              </w:rPr>
              <w:t>（11-15天）</w:t>
            </w:r>
          </w:p>
        </w:tc>
        <w:tc>
          <w:tcPr>
            <w:tcW w:w="2739" w:type="dxa"/>
            <w:tcBorders>
              <w:top w:val="single" w:color="auto" w:sz="6" w:space="0"/>
              <w:left w:val="single" w:color="auto" w:sz="6" w:space="0"/>
              <w:bottom w:val="single" w:color="auto" w:sz="6" w:space="0"/>
              <w:right w:val="single" w:color="auto" w:sz="6" w:space="0"/>
              <w:tl2br w:val="nil"/>
              <w:tr2bl w:val="nil"/>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Times New Roman"/>
                <w:color w:val="000000" w:themeColor="text1"/>
                <w:szCs w:val="21"/>
              </w:rPr>
            </w:pPr>
            <w:r>
              <w:rPr>
                <w:rFonts w:hint="eastAsia" w:ascii="仿宋_GB2312" w:hAnsi="Times New Roman" w:eastAsia="仿宋_GB2312" w:cs="Times New Roman"/>
                <w:color w:val="000000" w:themeColor="text1"/>
                <w:szCs w:val="21"/>
              </w:rPr>
              <w:t>（16-20天）</w:t>
            </w:r>
          </w:p>
        </w:tc>
      </w:tr>
      <w:tr>
        <w:tblPrEx>
          <w:tblCellMar>
            <w:top w:w="0" w:type="dxa"/>
            <w:left w:w="108" w:type="dxa"/>
            <w:bottom w:w="0" w:type="dxa"/>
            <w:right w:w="108" w:type="dxa"/>
          </w:tblCellMar>
        </w:tblPrEx>
        <w:trPr>
          <w:trHeight w:val="1837"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主要</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诊疗</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工作</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□上级医师查房与诊疗评估 ， 明确是否出院</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□完成上级医师查房记录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□采集中医四诊信息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□进行中医证候判断</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□进行健康宣教</w:t>
            </w: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□上级医师查房与诊疗评估 ， 明确是否出院</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□完成上级医师查房记录</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□采集中医四诊信息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□进行中医证候判断</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□进行健康宣教</w:t>
            </w: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□交代出院后注意事项、出院后用药和预约复诊日期</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□完成出院小结</w:t>
            </w:r>
          </w:p>
          <w:p>
            <w:pPr>
              <w:widowControl/>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□结束路径</w:t>
            </w:r>
          </w:p>
          <w:p>
            <w:pPr>
              <w:autoSpaceDE w:val="0"/>
              <w:autoSpaceDN w:val="0"/>
              <w:rPr>
                <w:rFonts w:ascii="仿宋_GB2312" w:hAnsi="仿宋_GB2312" w:eastAsia="仿宋_GB2312" w:cs="Times New Roman"/>
                <w:color w:val="000000" w:themeColor="text1"/>
                <w:szCs w:val="21"/>
                <w:lang w:val="zh-CN"/>
              </w:rPr>
            </w:pPr>
          </w:p>
        </w:tc>
      </w:tr>
      <w:tr>
        <w:tblPrEx>
          <w:tblCellMar>
            <w:top w:w="0" w:type="dxa"/>
            <w:left w:w="108" w:type="dxa"/>
            <w:bottom w:w="0" w:type="dxa"/>
            <w:right w:w="108" w:type="dxa"/>
          </w:tblCellMar>
        </w:tblPrEx>
        <w:trPr>
          <w:trHeight w:val="4796"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重点</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医嘱</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长期医嘱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□内科护理常规</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□分级护理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□饮食 普食</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□辨证施治</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□中药汤剂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□中成药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□特色治疗</w:t>
            </w:r>
            <w:r>
              <w:rPr>
                <w:rFonts w:hint="eastAsia" w:ascii="仿宋_GB2312" w:hAnsi="仿宋_GB2312" w:eastAsia="仿宋_GB2312" w:cs="Times New Roman"/>
                <w:color w:val="000000" w:themeColor="text1"/>
                <w:szCs w:val="21"/>
              </w:rPr>
              <w:t>（≥1-2种）</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针灸</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□电针</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□推拿</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院内制剂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□内科基础治疗（必要时）</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□其他治疗</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□处理异常检查的项目</w:t>
            </w:r>
          </w:p>
          <w:p>
            <w:pPr>
              <w:autoSpaceDE w:val="0"/>
              <w:autoSpaceDN w:val="0"/>
              <w:rPr>
                <w:rFonts w:ascii="仿宋_GB2312" w:hAnsi="仿宋_GB2312" w:eastAsia="仿宋_GB2312" w:cs="Times New Roman"/>
                <w:b/>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其他医嘱</w:t>
            </w: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长期医嘱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□内科护理常规</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□分级护理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□饮食 普食</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□辨证施治</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□中药汤剂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□中成药</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□特色治疗</w:t>
            </w:r>
            <w:r>
              <w:rPr>
                <w:rFonts w:hint="eastAsia" w:ascii="仿宋_GB2312" w:hAnsi="仿宋_GB2312" w:eastAsia="仿宋_GB2312" w:cs="Times New Roman"/>
                <w:color w:val="000000" w:themeColor="text1"/>
                <w:szCs w:val="21"/>
              </w:rPr>
              <w:t>（≥1-2种）</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针灸</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□电针</w:t>
            </w:r>
          </w:p>
          <w:p>
            <w:pPr>
              <w:autoSpaceDE w:val="0"/>
              <w:autoSpaceDN w:val="0"/>
              <w:ind w:firstLine="210" w:firstLineChars="10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□推拿</w:t>
            </w:r>
          </w:p>
          <w:p>
            <w:pPr>
              <w:autoSpaceDE w:val="0"/>
              <w:autoSpaceDN w:val="0"/>
              <w:ind w:firstLine="210" w:firstLineChars="10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院内制剂</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□内科基础治疗（必要时）</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□其他治疗</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□复查异常检查的项目</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w:t>
            </w:r>
            <w:r>
              <w:rPr>
                <w:rFonts w:hint="eastAsia" w:ascii="仿宋_GB2312" w:hAnsi="仿宋_GB2312" w:eastAsia="仿宋_GB2312" w:cs="Times New Roman"/>
                <w:color w:val="000000" w:themeColor="text1"/>
                <w:szCs w:val="21"/>
              </w:rPr>
              <w:t xml:space="preserve"> 其他医嘱</w:t>
            </w: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临时医嘱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□出院医嘱</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□出院带药</w:t>
            </w:r>
          </w:p>
        </w:tc>
      </w:tr>
      <w:tr>
        <w:tblPrEx>
          <w:tblCellMar>
            <w:top w:w="0" w:type="dxa"/>
            <w:left w:w="108" w:type="dxa"/>
            <w:bottom w:w="0" w:type="dxa"/>
            <w:right w:w="108" w:type="dxa"/>
          </w:tblCellMar>
        </w:tblPrEx>
        <w:trPr>
          <w:trHeight w:val="1325"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主要</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护理</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工作</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完成辨证施护</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心理护理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生活护理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配合健康宣教</w:t>
            </w: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完成辨证施护</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心理护理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生活护理</w:t>
            </w:r>
          </w:p>
          <w:p>
            <w:pPr>
              <w:autoSpaceDE w:val="0"/>
              <w:autoSpaceDN w:val="0"/>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 配合健康宣教</w:t>
            </w: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□协助患者办理出院手续</w:t>
            </w:r>
          </w:p>
          <w:p>
            <w:pPr>
              <w:autoSpaceDE w:val="0"/>
              <w:autoSpaceDN w:val="0"/>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□出院指导</w:t>
            </w:r>
          </w:p>
        </w:tc>
      </w:tr>
      <w:tr>
        <w:tblPrEx>
          <w:tblCellMar>
            <w:top w:w="0" w:type="dxa"/>
            <w:left w:w="108" w:type="dxa"/>
            <w:bottom w:w="0" w:type="dxa"/>
            <w:right w:w="108" w:type="dxa"/>
          </w:tblCellMar>
        </w:tblPrEx>
        <w:trPr>
          <w:trHeight w:val="1908"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病情</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变异</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记录</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autoSpaceDE w:val="0"/>
              <w:autoSpaceDN w:val="0"/>
              <w:rPr>
                <w:rFonts w:ascii="仿宋_GB2312" w:hAnsi="仿宋_GB2312" w:eastAsia="仿宋_GB2312" w:cs="Times New Roman"/>
                <w:color w:val="000000" w:themeColor="text1"/>
                <w:szCs w:val="21"/>
              </w:rPr>
            </w:pPr>
            <w:r>
              <w:rPr>
                <w:rFonts w:hint="eastAsia" w:ascii="仿宋_GB2312" w:hAnsi="宋体" w:eastAsia="仿宋_GB2312" w:cs="宋体"/>
                <w:color w:val="000000" w:themeColor="text1"/>
                <w:spacing w:val="1"/>
                <w:kern w:val="0"/>
                <w:position w:val="-2"/>
                <w:szCs w:val="21"/>
              </w:rPr>
              <w:t>2.</w:t>
            </w:r>
          </w:p>
        </w:tc>
      </w:tr>
      <w:tr>
        <w:tblPrEx>
          <w:tblCellMar>
            <w:top w:w="0" w:type="dxa"/>
            <w:left w:w="108" w:type="dxa"/>
            <w:bottom w:w="0" w:type="dxa"/>
            <w:right w:w="108" w:type="dxa"/>
          </w:tblCellMar>
        </w:tblPrEx>
        <w:trPr>
          <w:trHeight w:val="983"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护士</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签名</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r>
      <w:tr>
        <w:tblPrEx>
          <w:tblCellMar>
            <w:top w:w="0" w:type="dxa"/>
            <w:left w:w="108" w:type="dxa"/>
            <w:bottom w:w="0" w:type="dxa"/>
            <w:right w:w="108" w:type="dxa"/>
          </w:tblCellMar>
        </w:tblPrEx>
        <w:trPr>
          <w:trHeight w:val="1125" w:hRule="atLeast"/>
          <w:jc w:val="center"/>
        </w:trPr>
        <w:tc>
          <w:tcPr>
            <w:tcW w:w="1066" w:type="dxa"/>
            <w:tcBorders>
              <w:top w:val="single" w:color="auto" w:sz="6" w:space="0"/>
              <w:left w:val="single" w:color="auto" w:sz="6" w:space="0"/>
              <w:bottom w:val="single" w:color="auto" w:sz="6" w:space="0"/>
              <w:right w:val="single" w:color="auto" w:sz="6" w:space="0"/>
              <w:tl2br w:val="nil"/>
              <w:tr2bl w:val="nil"/>
            </w:tcBorders>
            <w:noWrap/>
            <w:vAlign w:val="center"/>
          </w:tcPr>
          <w:p>
            <w:pPr>
              <w:autoSpaceDE w:val="0"/>
              <w:autoSpaceDN w:val="0"/>
              <w:jc w:val="center"/>
              <w:rPr>
                <w:rFonts w:ascii="仿宋_GB2312" w:hAnsi="仿宋_GB2312" w:eastAsia="仿宋_GB2312" w:cs="Times New Roman"/>
                <w:color w:val="000000" w:themeColor="text1"/>
                <w:szCs w:val="21"/>
                <w:lang w:val="zh-CN"/>
              </w:rPr>
            </w:pPr>
            <w:r>
              <w:rPr>
                <w:rFonts w:hint="eastAsia" w:ascii="仿宋_GB2312" w:hAnsi="仿宋_GB2312" w:eastAsia="仿宋_GB2312" w:cs="Times New Roman"/>
                <w:color w:val="000000" w:themeColor="text1"/>
                <w:szCs w:val="21"/>
                <w:lang w:val="zh-CN"/>
              </w:rPr>
              <w:t>医师</w:t>
            </w:r>
          </w:p>
          <w:p>
            <w:pPr>
              <w:autoSpaceDE w:val="0"/>
              <w:autoSpaceDN w:val="0"/>
              <w:jc w:val="center"/>
              <w:rPr>
                <w:rFonts w:ascii="仿宋_GB2312" w:hAnsi="仿宋_GB2312" w:eastAsia="仿宋_GB2312" w:cs="Times New Roman"/>
                <w:color w:val="000000" w:themeColor="text1"/>
                <w:szCs w:val="21"/>
              </w:rPr>
            </w:pPr>
            <w:r>
              <w:rPr>
                <w:rFonts w:hint="eastAsia" w:ascii="仿宋_GB2312" w:hAnsi="仿宋_GB2312" w:eastAsia="仿宋_GB2312" w:cs="Times New Roman"/>
                <w:color w:val="000000" w:themeColor="text1"/>
                <w:szCs w:val="21"/>
                <w:lang w:val="zh-CN"/>
              </w:rPr>
              <w:t>签名</w:t>
            </w:r>
          </w:p>
        </w:tc>
        <w:tc>
          <w:tcPr>
            <w:tcW w:w="2094"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886"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c>
          <w:tcPr>
            <w:tcW w:w="2739" w:type="dxa"/>
            <w:tcBorders>
              <w:top w:val="single" w:color="auto" w:sz="6" w:space="0"/>
              <w:left w:val="single" w:color="auto" w:sz="6" w:space="0"/>
              <w:bottom w:val="single" w:color="auto" w:sz="6" w:space="0"/>
              <w:right w:val="single" w:color="auto" w:sz="6" w:space="0"/>
              <w:tl2br w:val="nil"/>
              <w:tr2bl w:val="nil"/>
            </w:tcBorders>
            <w:noWrap/>
          </w:tcPr>
          <w:p>
            <w:pPr>
              <w:autoSpaceDE w:val="0"/>
              <w:autoSpaceDN w:val="0"/>
              <w:rPr>
                <w:rFonts w:ascii="仿宋_GB2312" w:hAnsi="仿宋_GB2312" w:eastAsia="仿宋_GB2312" w:cs="Times New Roman"/>
                <w:color w:val="000000" w:themeColor="text1"/>
                <w:szCs w:val="21"/>
              </w:rPr>
            </w:pPr>
          </w:p>
        </w:tc>
      </w:tr>
    </w:tbl>
    <w:p>
      <w:pPr>
        <w:spacing w:line="500" w:lineRule="exact"/>
        <w:jc w:val="left"/>
        <w:rPr>
          <w:rFonts w:ascii="仿宋_GB2312" w:hAnsi="仿宋_GB2312" w:eastAsia="仿宋_GB2312" w:cs="仿宋_GB2312"/>
          <w:color w:val="000000" w:themeColor="text1"/>
          <w:sz w:val="28"/>
          <w:szCs w:val="28"/>
        </w:rPr>
        <w:sectPr>
          <w:pgSz w:w="11850" w:h="16840"/>
          <w:pgMar w:top="1134" w:right="1134" w:bottom="1134" w:left="1134" w:header="829" w:footer="970" w:gutter="0"/>
          <w:pgNumType w:fmt="numberInDash"/>
          <w:cols w:space="720" w:num="1"/>
        </w:sectPr>
      </w:pPr>
    </w:p>
    <w:p>
      <w:pPr>
        <w:autoSpaceDE w:val="0"/>
        <w:autoSpaceDN w:val="0"/>
        <w:spacing w:line="600" w:lineRule="exact"/>
        <w:rPr>
          <w:rFonts w:ascii="黑体" w:hAnsi="黑体" w:eastAsia="黑体" w:cs="方正小标宋简体"/>
          <w:bCs/>
          <w:color w:val="000000" w:themeColor="text1"/>
          <w:kern w:val="0"/>
          <w:position w:val="-3"/>
          <w:sz w:val="36"/>
          <w:szCs w:val="36"/>
        </w:rPr>
      </w:pPr>
      <w:r>
        <w:rPr>
          <w:rFonts w:hint="eastAsia" w:ascii="黑体" w:hAnsi="黑体" w:eastAsia="黑体" w:cs="方正小标宋简体"/>
          <w:bCs/>
          <w:color w:val="000000" w:themeColor="text1"/>
          <w:kern w:val="0"/>
          <w:position w:val="-3"/>
          <w:sz w:val="36"/>
          <w:szCs w:val="36"/>
        </w:rPr>
        <w:t>4.肩凝症（肩周炎）</w:t>
      </w:r>
    </w:p>
    <w:p>
      <w:pPr>
        <w:autoSpaceDE w:val="0"/>
        <w:autoSpaceDN w:val="0"/>
        <w:spacing w:line="600" w:lineRule="exact"/>
        <w:rPr>
          <w:rFonts w:ascii="方正小标宋简体" w:hAnsi="方正小标宋简体" w:eastAsia="方正小标宋简体" w:cs="方正小标宋简体"/>
          <w:bCs/>
          <w:color w:val="000000" w:themeColor="text1"/>
          <w:kern w:val="0"/>
          <w:position w:val="-3"/>
          <w:sz w:val="36"/>
          <w:szCs w:val="36"/>
          <w:lang w:val="zh-CN"/>
        </w:rPr>
      </w:pPr>
    </w:p>
    <w:p>
      <w:pPr>
        <w:autoSpaceDE w:val="0"/>
        <w:autoSpaceDN w:val="0"/>
        <w:spacing w:line="400" w:lineRule="exact"/>
        <w:jc w:val="center"/>
        <w:rPr>
          <w:rFonts w:ascii="仿宋_GB2312" w:hAnsi="方正小标宋简体" w:eastAsia="仿宋_GB2312" w:cs="方正小标宋简体"/>
          <w:b/>
          <w:bCs/>
          <w:color w:val="000000" w:themeColor="text1"/>
          <w:kern w:val="0"/>
          <w:position w:val="-3"/>
          <w:sz w:val="32"/>
          <w:szCs w:val="32"/>
          <w:lang w:val="zh-CN"/>
        </w:rPr>
      </w:pPr>
      <w:r>
        <w:rPr>
          <w:rFonts w:hint="eastAsia" w:ascii="仿宋_GB2312" w:hAnsi="方正小标宋简体" w:eastAsia="仿宋_GB2312" w:cs="方正小标宋简体"/>
          <w:b/>
          <w:bCs/>
          <w:color w:val="000000" w:themeColor="text1"/>
          <w:kern w:val="0"/>
          <w:position w:val="-3"/>
          <w:sz w:val="32"/>
          <w:szCs w:val="32"/>
          <w:lang w:val="zh-CN"/>
        </w:rPr>
        <w:t>一、临床路径标准治疗流程</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路径说明：本路径适合于西医诊断为肩关节周围炎的粘连前期、粘连期患者。</w:t>
      </w:r>
    </w:p>
    <w:p>
      <w:pPr>
        <w:autoSpaceDE w:val="0"/>
        <w:autoSpaceDN w:val="0"/>
        <w:adjustRightInd w:val="0"/>
        <w:spacing w:line="400" w:lineRule="exact"/>
        <w:ind w:firstLine="480" w:firstLineChars="200"/>
        <w:jc w:val="left"/>
        <w:outlineLvl w:val="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一、肩凝证（肩关节周围炎）中医临床路径标准流程</w:t>
      </w:r>
    </w:p>
    <w:p>
      <w:pPr>
        <w:autoSpaceDE w:val="0"/>
        <w:autoSpaceDN w:val="0"/>
        <w:spacing w:line="400" w:lineRule="exact"/>
        <w:ind w:firstLine="481" w:firstLineChars="200"/>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（一）适用对象</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中医诊断：第一诊断为肩凝证（TCD编码：BNV262）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西医诊断：第一诊断为肩关节周围炎（ICD-10编码：M75.011）</w:t>
      </w:r>
    </w:p>
    <w:p>
      <w:pPr>
        <w:autoSpaceDE w:val="0"/>
        <w:autoSpaceDN w:val="0"/>
        <w:spacing w:line="400" w:lineRule="exact"/>
        <w:ind w:firstLine="481" w:firstLineChars="200"/>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 xml:space="preserve"> （二）诊断依据</w:t>
      </w:r>
    </w:p>
    <w:p>
      <w:pPr>
        <w:autoSpaceDE w:val="0"/>
        <w:autoSpaceDN w:val="0"/>
        <w:spacing w:line="400" w:lineRule="exact"/>
        <w:ind w:firstLine="480" w:firstLineChars="200"/>
        <w:jc w:val="left"/>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1.疾病诊断</w:t>
      </w:r>
    </w:p>
    <w:p>
      <w:pPr>
        <w:autoSpaceDE w:val="0"/>
        <w:autoSpaceDN w:val="0"/>
        <w:spacing w:line="400" w:lineRule="exact"/>
        <w:ind w:firstLine="480" w:firstLineChars="200"/>
        <w:jc w:val="left"/>
        <w:rPr>
          <w:rFonts w:ascii="仿宋_GB2312" w:hAnsi="仿宋_GB2312" w:eastAsia="仿宋_GB2312" w:cs="仿宋_GB2312"/>
          <w:color w:val="000000" w:themeColor="text1"/>
          <w:sz w:val="24"/>
          <w:lang w:val="zh-CN"/>
        </w:rPr>
      </w:pPr>
      <w:r>
        <w:rPr>
          <w:rFonts w:hint="eastAsia" w:ascii="仿宋_GB2312" w:hAnsi="仿宋_GB2312" w:eastAsia="仿宋_GB2312" w:cs="Times New Roman"/>
          <w:color w:val="000000" w:themeColor="text1"/>
          <w:sz w:val="24"/>
        </w:rPr>
        <w:t>（1）</w:t>
      </w:r>
      <w:r>
        <w:rPr>
          <w:rFonts w:hint="eastAsia" w:ascii="仿宋_GB2312" w:hAnsi="仿宋_GB2312" w:eastAsia="仿宋_GB2312" w:cs="仿宋_GB2312"/>
          <w:color w:val="000000" w:themeColor="text1"/>
          <w:sz w:val="24"/>
          <w:lang w:val="zh-CN"/>
        </w:rPr>
        <w:t>中医诊断标准：</w:t>
      </w:r>
      <w:r>
        <w:rPr>
          <w:rFonts w:hint="eastAsia" w:ascii="仿宋_GB2312" w:hAnsi="仿宋_GB2312" w:eastAsia="仿宋_GB2312" w:cs="仿宋_GB2312"/>
          <w:color w:val="000000" w:themeColor="text1"/>
          <w:spacing w:val="6"/>
          <w:kern w:val="0"/>
          <w:sz w:val="24"/>
        </w:rPr>
        <w:t>参照“中华</w:t>
      </w:r>
      <w:r>
        <w:rPr>
          <w:rFonts w:hint="eastAsia" w:ascii="仿宋_GB2312" w:hAnsi="仿宋_GB2312" w:eastAsia="仿宋_GB2312" w:cs="仿宋_GB2312"/>
          <w:color w:val="000000" w:themeColor="text1"/>
          <w:spacing w:val="4"/>
          <w:kern w:val="0"/>
          <w:sz w:val="24"/>
        </w:rPr>
        <w:t>人</w:t>
      </w:r>
      <w:r>
        <w:rPr>
          <w:rFonts w:hint="eastAsia" w:ascii="仿宋_GB2312" w:hAnsi="仿宋_GB2312" w:eastAsia="仿宋_GB2312" w:cs="仿宋_GB2312"/>
          <w:color w:val="000000" w:themeColor="text1"/>
          <w:spacing w:val="6"/>
          <w:kern w:val="0"/>
          <w:sz w:val="24"/>
        </w:rPr>
        <w:t>民共和国中医药行业标准</w:t>
      </w:r>
      <w:r>
        <w:rPr>
          <w:rFonts w:hint="eastAsia" w:ascii="仿宋_GB2312" w:hAnsi="仿宋_GB2312" w:eastAsia="仿宋_GB2312" w:cs="仿宋_GB2312"/>
          <w:color w:val="000000" w:themeColor="text1"/>
          <w:spacing w:val="4"/>
          <w:kern w:val="0"/>
          <w:sz w:val="24"/>
        </w:rPr>
        <w:t>《</w:t>
      </w:r>
      <w:r>
        <w:rPr>
          <w:rFonts w:hint="eastAsia" w:ascii="仿宋_GB2312" w:hAnsi="仿宋_GB2312" w:eastAsia="仿宋_GB2312" w:cs="仿宋_GB2312"/>
          <w:color w:val="000000" w:themeColor="text1"/>
          <w:spacing w:val="6"/>
          <w:kern w:val="0"/>
          <w:sz w:val="24"/>
        </w:rPr>
        <w:t>中医病症诊断疗效标</w:t>
      </w:r>
      <w:r>
        <w:rPr>
          <w:rFonts w:hint="eastAsia" w:ascii="仿宋_GB2312" w:hAnsi="仿宋_GB2312" w:eastAsia="仿宋_GB2312" w:cs="仿宋_GB2312"/>
          <w:color w:val="000000" w:themeColor="text1"/>
          <w:spacing w:val="4"/>
          <w:kern w:val="0"/>
          <w:sz w:val="24"/>
        </w:rPr>
        <w:t>准</w:t>
      </w:r>
      <w:r>
        <w:rPr>
          <w:rFonts w:hint="eastAsia" w:ascii="仿宋_GB2312" w:hAnsi="仿宋_GB2312" w:eastAsia="仿宋_GB2312" w:cs="仿宋_GB2312"/>
          <w:color w:val="000000" w:themeColor="text1"/>
          <w:kern w:val="0"/>
          <w:sz w:val="24"/>
        </w:rPr>
        <w:t>》(ZY/T001.9-94)”</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Times New Roman"/>
          <w:color w:val="000000" w:themeColor="text1"/>
          <w:sz w:val="24"/>
        </w:rPr>
        <w:t>（2）</w:t>
      </w:r>
      <w:r>
        <w:rPr>
          <w:rFonts w:hint="eastAsia" w:ascii="仿宋_GB2312" w:hAnsi="仿宋_GB2312" w:eastAsia="仿宋_GB2312" w:cs="仿宋_GB2312"/>
          <w:color w:val="000000" w:themeColor="text1"/>
          <w:sz w:val="24"/>
          <w:lang w:val="zh-CN"/>
        </w:rPr>
        <w:t>西医诊断标准：</w:t>
      </w:r>
      <w:r>
        <w:rPr>
          <w:rFonts w:hint="eastAsia" w:ascii="仿宋_GB2312" w:hAnsi="仿宋_GB2312" w:eastAsia="仿宋_GB2312" w:cs="仿宋_GB2312"/>
          <w:color w:val="000000" w:themeColor="text1"/>
          <w:spacing w:val="2"/>
          <w:kern w:val="0"/>
          <w:sz w:val="24"/>
        </w:rPr>
        <w:t>参照《新编实用骨科学》第二版（陶天遵主编，军事医学科学出版</w:t>
      </w:r>
      <w:r>
        <w:rPr>
          <w:rFonts w:hint="eastAsia" w:ascii="仿宋_GB2312" w:hAnsi="仿宋_GB2312" w:eastAsia="仿宋_GB2312" w:cs="仿宋_GB2312"/>
          <w:color w:val="000000" w:themeColor="text1"/>
          <w:kern w:val="0"/>
          <w:sz w:val="24"/>
        </w:rPr>
        <w:t>社，2008年）</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2.疾病分期</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（1）粘连前期：肩周部疼痛，肩关节功能活动正常或轻度受限。</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（2）粘连期：肩痛较轻，酸重不适，肩关节功能活动受限严重。</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（3）恢复期：疼痛改善，肩关节功能活动改善。</w:t>
      </w:r>
    </w:p>
    <w:p>
      <w:pPr>
        <w:autoSpaceDE w:val="0"/>
        <w:autoSpaceDN w:val="0"/>
        <w:spacing w:line="400" w:lineRule="exact"/>
        <w:ind w:firstLine="480" w:firstLineChars="200"/>
        <w:jc w:val="left"/>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3.证候诊断</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凝证（肩关节周围炎）临床常见证候：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Times New Roman"/>
          <w:color w:val="000000" w:themeColor="text1"/>
          <w:sz w:val="24"/>
        </w:rPr>
        <w:t>（1）</w:t>
      </w:r>
      <w:r>
        <w:rPr>
          <w:rFonts w:hint="eastAsia" w:ascii="仿宋_GB2312" w:hAnsi="仿宋_GB2312" w:eastAsia="仿宋_GB2312" w:cs="仿宋_GB2312"/>
          <w:color w:val="000000" w:themeColor="text1"/>
          <w:kern w:val="0"/>
          <w:sz w:val="24"/>
        </w:rPr>
        <w:t>风寒湿型：</w:t>
      </w:r>
      <w:r>
        <w:rPr>
          <w:rFonts w:hint="eastAsia" w:ascii="仿宋_GB2312" w:hAnsi="仿宋_GB2312" w:eastAsia="仿宋_GB2312" w:cs="仿宋_GB2312"/>
          <w:color w:val="000000" w:themeColor="text1"/>
          <w:sz w:val="24"/>
        </w:rPr>
        <w:t>肩部窜痛，遇风寒痛增，得温痛缓，畏风恶寒；或肩部有沉重感。舌淡、舌苔薄白或腻，脉弦滑或弦紧。</w:t>
      </w:r>
    </w:p>
    <w:p>
      <w:pPr>
        <w:tabs>
          <w:tab w:val="left" w:pos="9540"/>
        </w:tabs>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Times New Roman"/>
          <w:color w:val="000000" w:themeColor="text1"/>
          <w:sz w:val="24"/>
        </w:rPr>
        <w:t>（2）</w:t>
      </w:r>
      <w:r>
        <w:rPr>
          <w:rFonts w:hint="eastAsia" w:ascii="仿宋_GB2312" w:hAnsi="仿宋_GB2312" w:eastAsia="仿宋_GB2312" w:cs="仿宋_GB2312"/>
          <w:color w:val="000000" w:themeColor="text1"/>
          <w:kern w:val="0"/>
          <w:sz w:val="24"/>
        </w:rPr>
        <w:t>瘀滞型 ：</w:t>
      </w:r>
      <w:r>
        <w:rPr>
          <w:rFonts w:hint="eastAsia" w:ascii="仿宋_GB2312" w:hAnsi="仿宋_GB2312" w:eastAsia="仿宋_GB2312" w:cs="仿宋_GB2312"/>
          <w:color w:val="000000" w:themeColor="text1"/>
          <w:sz w:val="24"/>
        </w:rPr>
        <w:t>肩部肿痛，疼痛拒按，以夜间为甚。舌暗或有瘀斑，舌苔白或薄黄，脉弦或细涩。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Times New Roman"/>
          <w:color w:val="000000" w:themeColor="text1"/>
          <w:sz w:val="24"/>
        </w:rPr>
        <w:t>（3）</w:t>
      </w:r>
      <w:r>
        <w:rPr>
          <w:rFonts w:hint="eastAsia" w:ascii="仿宋_GB2312" w:hAnsi="仿宋_GB2312" w:eastAsia="仿宋_GB2312" w:cs="仿宋_GB2312"/>
          <w:color w:val="000000" w:themeColor="text1"/>
          <w:kern w:val="0"/>
          <w:sz w:val="24"/>
        </w:rPr>
        <w:t>气血虚型：</w:t>
      </w:r>
      <w:r>
        <w:rPr>
          <w:rFonts w:hint="eastAsia" w:ascii="仿宋_GB2312" w:hAnsi="仿宋_GB2312" w:eastAsia="仿宋_GB2312" w:cs="仿宋_GB2312"/>
          <w:color w:val="000000" w:themeColor="text1"/>
          <w:sz w:val="24"/>
        </w:rPr>
        <w:t>肩部酸痛，劳累后疼痛加重，伴头晕目眩，气短懒言，心悸失眠，四肢乏力，舌淡，少苔或舌苔白，脉细弱或沉。</w:t>
      </w:r>
    </w:p>
    <w:p>
      <w:pPr>
        <w:autoSpaceDE w:val="0"/>
        <w:autoSpaceDN w:val="0"/>
        <w:spacing w:line="400" w:lineRule="exact"/>
        <w:ind w:firstLine="481" w:firstLineChars="200"/>
        <w:jc w:val="left"/>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 xml:space="preserve">（三）治疗方案的选择  </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z w:val="24"/>
          <w:lang w:val="zh-CN"/>
        </w:rPr>
        <w:t>1.诊断明确，</w:t>
      </w:r>
      <w:r>
        <w:rPr>
          <w:rFonts w:hint="eastAsia" w:ascii="仿宋_GB2312" w:hAnsi="仿宋_GB2312" w:eastAsia="仿宋_GB2312" w:cs="仿宋_GB2312"/>
          <w:color w:val="000000" w:themeColor="text1"/>
          <w:kern w:val="0"/>
          <w:sz w:val="24"/>
        </w:rPr>
        <w:t>第一诊断为肩凝证（肩关节周围炎</w:t>
      </w:r>
      <w:r>
        <w:rPr>
          <w:rFonts w:hint="eastAsia" w:ascii="仿宋_GB2312" w:hAnsi="仿宋_GB2312" w:eastAsia="仿宋_GB2312" w:cs="仿宋_GB2312"/>
          <w:color w:val="000000" w:themeColor="text1"/>
          <w:spacing w:val="-120"/>
          <w:kern w:val="0"/>
          <w:sz w:val="24"/>
        </w:rPr>
        <w:t>）</w:t>
      </w:r>
    </w:p>
    <w:p>
      <w:pPr>
        <w:autoSpaceDE w:val="0"/>
        <w:autoSpaceDN w:val="0"/>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2.患者适合并接受中医治疗。</w:t>
      </w:r>
    </w:p>
    <w:p>
      <w:pPr>
        <w:autoSpaceDE w:val="0"/>
        <w:autoSpaceDN w:val="0"/>
        <w:spacing w:line="400" w:lineRule="exact"/>
        <w:ind w:firstLine="481" w:firstLineChars="200"/>
        <w:jc w:val="left"/>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（四）标准治疗时间</w:t>
      </w:r>
    </w:p>
    <w:p>
      <w:pPr>
        <w:autoSpaceDE w:val="0"/>
        <w:autoSpaceDN w:val="0"/>
        <w:spacing w:line="400" w:lineRule="exact"/>
        <w:ind w:firstLine="480" w:firstLineChars="200"/>
        <w:jc w:val="left"/>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w:t>
      </w:r>
      <w:r>
        <w:rPr>
          <w:rFonts w:hint="eastAsia" w:ascii="仿宋_GB2312" w:hAnsi="仿宋_GB2312" w:eastAsia="仿宋_GB2312" w:cs="仿宋_GB2312"/>
          <w:color w:val="000000" w:themeColor="text1"/>
          <w:sz w:val="24"/>
        </w:rPr>
        <w:t>30天。</w:t>
      </w:r>
    </w:p>
    <w:p>
      <w:pPr>
        <w:autoSpaceDE w:val="0"/>
        <w:autoSpaceDN w:val="0"/>
        <w:spacing w:line="400" w:lineRule="exact"/>
        <w:ind w:firstLine="481" w:firstLineChars="200"/>
        <w:jc w:val="left"/>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（五）进入路径标准</w:t>
      </w:r>
    </w:p>
    <w:p>
      <w:pPr>
        <w:pStyle w:val="15"/>
        <w:spacing w:line="400" w:lineRule="exact"/>
        <w:ind w:firstLine="480" w:firstLineChars="20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rPr>
        <w:t>1.</w:t>
      </w:r>
      <w:r>
        <w:rPr>
          <w:rStyle w:val="16"/>
          <w:rFonts w:hint="eastAsia" w:ascii="仿宋_GB2312" w:hAnsi="仿宋_GB2312" w:eastAsia="仿宋_GB2312" w:cs="仿宋_GB2312"/>
          <w:color w:val="000000" w:themeColor="text1"/>
        </w:rPr>
        <w:t>第一诊断必须符合肩凝症，（TCD 编码为：BNV262）和肩关节周围炎</w:t>
      </w:r>
      <w:r>
        <w:rPr>
          <w:rFonts w:hint="eastAsia" w:ascii="仿宋_GB2312" w:hAnsi="仿宋_GB2312" w:eastAsia="仿宋_GB2312" w:cs="仿宋_GB2312"/>
          <w:color w:val="000000" w:themeColor="text1"/>
          <w:kern w:val="0"/>
        </w:rPr>
        <w:t>（ICD-10编码为：M75.011）。</w:t>
      </w:r>
    </w:p>
    <w:p>
      <w:pPr>
        <w:pStyle w:val="15"/>
        <w:spacing w:line="400" w:lineRule="exact"/>
        <w:ind w:firstLine="480" w:firstLineChars="200"/>
        <w:rPr>
          <w:rFonts w:ascii="仿宋_GB2312" w:hAnsi="仿宋_GB2312" w:eastAsia="仿宋_GB2312" w:cs="仿宋_GB2312"/>
          <w:color w:val="000000" w:themeColor="text1"/>
        </w:rPr>
      </w:pPr>
      <w:r>
        <w:rPr>
          <w:rFonts w:hint="eastAsia" w:ascii="仿宋_GB2312" w:hAnsi="仿宋_GB2312" w:eastAsia="仿宋_GB2312" w:cs="仿宋_GB2312"/>
          <w:color w:val="000000" w:themeColor="text1"/>
          <w:kern w:val="0"/>
        </w:rPr>
        <w:t>2.疾病分期属于粘连前期、粘连期者。</w:t>
      </w:r>
    </w:p>
    <w:p>
      <w:pPr>
        <w:pStyle w:val="15"/>
        <w:spacing w:line="400" w:lineRule="exact"/>
        <w:ind w:firstLine="480" w:firstLineChars="20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rPr>
        <w:t>3.</w:t>
      </w:r>
      <w:r>
        <w:rPr>
          <w:rFonts w:hint="eastAsia" w:ascii="仿宋_GB2312" w:hAnsi="仿宋_GB2312" w:eastAsia="仿宋_GB2312" w:cs="仿宋_GB2312"/>
          <w:color w:val="000000" w:themeColor="text1"/>
          <w:spacing w:val="2"/>
          <w:kern w:val="0"/>
        </w:rPr>
        <w:t>患者同时具有其他疾病，但在治疗期间无需特殊处理，也不影响第一诊断的临</w:t>
      </w:r>
      <w:r>
        <w:rPr>
          <w:rFonts w:hint="eastAsia" w:ascii="仿宋_GB2312" w:hAnsi="仿宋_GB2312" w:eastAsia="仿宋_GB2312" w:cs="仿宋_GB2312"/>
          <w:color w:val="000000" w:themeColor="text1"/>
          <w:kern w:val="0"/>
        </w:rPr>
        <w:t>床路径流程实施时，可以进入本路径。</w:t>
      </w:r>
    </w:p>
    <w:p>
      <w:pPr>
        <w:pStyle w:val="15"/>
        <w:spacing w:line="400" w:lineRule="exact"/>
        <w:ind w:firstLine="480" w:firstLineChars="20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kern w:val="0"/>
        </w:rPr>
        <w:t>4.肩部骨折未愈合者，不进入本路径。</w:t>
      </w:r>
    </w:p>
    <w:p>
      <w:pPr>
        <w:autoSpaceDE w:val="0"/>
        <w:autoSpaceDN w:val="0"/>
        <w:spacing w:line="400" w:lineRule="exact"/>
        <w:ind w:firstLine="481" w:firstLineChars="200"/>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（六）中医证候学观察</w:t>
      </w:r>
    </w:p>
    <w:p>
      <w:pPr>
        <w:autoSpaceDE w:val="0"/>
        <w:autoSpaceDN w:val="0"/>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四诊合参</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收集该病种不同证候的主症</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次症</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舌</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脉特点</w:t>
      </w:r>
      <w:r>
        <w:rPr>
          <w:rFonts w:hint="eastAsia" w:ascii="仿宋_GB2312" w:hAnsi="仿宋_GB2312" w:eastAsia="仿宋_GB2312" w:cs="仿宋_GB2312"/>
          <w:color w:val="000000" w:themeColor="text1"/>
          <w:spacing w:val="-34"/>
          <w:kern w:val="0"/>
          <w:sz w:val="24"/>
        </w:rPr>
        <w:t>。</w:t>
      </w:r>
      <w:r>
        <w:rPr>
          <w:rFonts w:hint="eastAsia" w:ascii="仿宋_GB2312" w:hAnsi="仿宋_GB2312" w:eastAsia="仿宋_GB2312" w:cs="仿宋_GB2312"/>
          <w:color w:val="000000" w:themeColor="text1"/>
          <w:kern w:val="0"/>
          <w:sz w:val="24"/>
        </w:rPr>
        <w:t>注意证候的动态变化。</w:t>
      </w:r>
    </w:p>
    <w:p>
      <w:pPr>
        <w:autoSpaceDE w:val="0"/>
        <w:autoSpaceDN w:val="0"/>
        <w:spacing w:line="400" w:lineRule="exact"/>
        <w:ind w:firstLine="481" w:firstLineChars="200"/>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（七）辅助检查项目</w:t>
      </w:r>
    </w:p>
    <w:p>
      <w:pPr>
        <w:autoSpaceDE w:val="0"/>
        <w:autoSpaceDN w:val="0"/>
        <w:adjustRightInd w:val="0"/>
        <w:spacing w:line="400" w:lineRule="exact"/>
        <w:ind w:firstLine="480" w:firstLineChars="200"/>
        <w:jc w:val="left"/>
        <w:outlineLvl w:val="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1.必需的检查项目：</w:t>
      </w:r>
    </w:p>
    <w:p>
      <w:pPr>
        <w:autoSpaceDE w:val="0"/>
        <w:autoSpaceDN w:val="0"/>
        <w:adjustRightInd w:val="0"/>
        <w:spacing w:line="400" w:lineRule="exact"/>
        <w:ind w:firstLine="480" w:firstLineChars="200"/>
        <w:jc w:val="left"/>
        <w:outlineLvl w:val="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肩关节X线片或核磁共振、心电图。</w:t>
      </w:r>
    </w:p>
    <w:p>
      <w:pPr>
        <w:autoSpaceDE w:val="0"/>
        <w:autoSpaceDN w:val="0"/>
        <w:adjustRightInd w:val="0"/>
        <w:spacing w:line="400" w:lineRule="exact"/>
        <w:ind w:firstLine="480" w:firstLineChars="200"/>
        <w:jc w:val="left"/>
        <w:outlineLvl w:val="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2.可选择的检查项目：</w:t>
      </w:r>
    </w:p>
    <w:p>
      <w:pPr>
        <w:autoSpaceDE w:val="0"/>
        <w:autoSpaceDN w:val="0"/>
        <w:adjustRightInd w:val="0"/>
        <w:spacing w:line="400" w:lineRule="exact"/>
        <w:ind w:firstLine="480" w:firstLineChars="200"/>
        <w:jc w:val="left"/>
        <w:outlineLvl w:val="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根据病情需要而定，如血常规、凝血常规、血沉、免疫三项、肝肾功能、血糖、血脂等。</w:t>
      </w:r>
    </w:p>
    <w:p>
      <w:pPr>
        <w:autoSpaceDE w:val="0"/>
        <w:autoSpaceDN w:val="0"/>
        <w:spacing w:line="400" w:lineRule="exact"/>
        <w:ind w:firstLine="481" w:firstLineChars="200"/>
        <w:rPr>
          <w:rFonts w:ascii="仿宋_GB2312" w:hAnsi="仿宋_GB2312" w:eastAsia="仿宋_GB2312" w:cs="仿宋_GB2312"/>
          <w:b/>
          <w:color w:val="000000" w:themeColor="text1"/>
          <w:sz w:val="24"/>
          <w:lang w:val="zh-CN"/>
        </w:rPr>
      </w:pPr>
      <w:r>
        <w:rPr>
          <w:rFonts w:hint="eastAsia" w:ascii="仿宋_GB2312" w:hAnsi="仿宋_GB2312" w:eastAsia="仿宋_GB2312" w:cs="仿宋_GB2312"/>
          <w:b/>
          <w:color w:val="000000" w:themeColor="text1"/>
          <w:sz w:val="24"/>
          <w:lang w:val="zh-CN"/>
        </w:rPr>
        <w:t>（八）治疗方法</w:t>
      </w:r>
    </w:p>
    <w:p>
      <w:pPr>
        <w:autoSpaceDE w:val="0"/>
        <w:autoSpaceDN w:val="0"/>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1.辨证选择口服中药汤剂、中成药</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w:t>
      </w:r>
      <w:r>
        <w:rPr>
          <w:rFonts w:hint="eastAsia" w:ascii="仿宋_GB2312" w:hAnsi="仿宋_GB2312" w:eastAsia="仿宋_GB2312" w:cs="仿宋_GB2312"/>
          <w:color w:val="000000" w:themeColor="text1"/>
          <w:sz w:val="24"/>
        </w:rPr>
        <w:t>1）</w:t>
      </w:r>
      <w:r>
        <w:rPr>
          <w:rFonts w:hint="eastAsia" w:ascii="仿宋_GB2312" w:hAnsi="仿宋_GB2312" w:eastAsia="仿宋_GB2312" w:cs="仿宋_GB2312"/>
          <w:color w:val="000000" w:themeColor="text1"/>
          <w:sz w:val="24"/>
          <w:lang w:val="zh-CN"/>
        </w:rPr>
        <w:t>中药汤剂：</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①风寒湿型：</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主症：</w:t>
      </w:r>
      <w:r>
        <w:rPr>
          <w:rFonts w:hint="eastAsia" w:ascii="仿宋_GB2312" w:hAnsi="仿宋_GB2312" w:eastAsia="仿宋_GB2312" w:cs="仿宋_GB2312"/>
          <w:color w:val="000000" w:themeColor="text1"/>
          <w:sz w:val="24"/>
        </w:rPr>
        <w:t>肩部窜痛，遇风寒痛增，得温痛缓，畏风恶寒；或肩部有沉重感。舌淡、舌苔薄白或腻，脉弦滑或弦紧。</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治法：祛风散寒、利湿通络。</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推荐方剂：羌活胜湿汤加减。</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常用药：羌活、独活、防风、川芎、威灵仙、桂枝。</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 xml:space="preserve">②瘀滞型： </w:t>
      </w:r>
    </w:p>
    <w:p>
      <w:pPr>
        <w:tabs>
          <w:tab w:val="left" w:pos="9540"/>
        </w:tabs>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主症：</w:t>
      </w:r>
      <w:r>
        <w:rPr>
          <w:rFonts w:hint="eastAsia" w:ascii="仿宋_GB2312" w:hAnsi="仿宋_GB2312" w:eastAsia="仿宋_GB2312" w:cs="仿宋_GB2312"/>
          <w:color w:val="000000" w:themeColor="text1"/>
          <w:sz w:val="24"/>
        </w:rPr>
        <w:t>肩部肿痛，疼痛拒按，以夜间为甚。舌暗或有瘀斑，舌苔白或薄黄，脉弦或细涩。</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治法：活血祛瘀、舒经通络。</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推荐方剂：身痛逐瘀汤加减。</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常用药：当归、川芎、赤芍、桃仁、红花、秦艽、威灵仙、制草乌、</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延胡索。</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③气血虚型：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主症：</w:t>
      </w:r>
      <w:r>
        <w:rPr>
          <w:rFonts w:hint="eastAsia" w:ascii="仿宋_GB2312" w:hAnsi="仿宋_GB2312" w:eastAsia="仿宋_GB2312" w:cs="仿宋_GB2312"/>
          <w:color w:val="000000" w:themeColor="text1"/>
          <w:sz w:val="24"/>
        </w:rPr>
        <w:t>肩部酸痛，劳累后疼痛加重，伴头晕目眩，气短懒言，心悸</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z w:val="24"/>
        </w:rPr>
        <w:t>失眠，四肢乏力，舌淡，少苔或舌苔白，脉细弱或沉。</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治法：补益气血、通络止痛。</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推荐方剂：八珍汤加减。</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常用药：人参、白术、茯苓、当归、川芎、白芍药、熟地、茯神、</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kern w:val="0"/>
          <w:sz w:val="24"/>
        </w:rPr>
        <w:t>甘草。</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w:t>
      </w:r>
      <w:r>
        <w:rPr>
          <w:rFonts w:hint="eastAsia" w:ascii="仿宋_GB2312" w:hAnsi="仿宋_GB2312" w:eastAsia="仿宋_GB2312" w:cs="仿宋_GB2312"/>
          <w:color w:val="000000" w:themeColor="text1"/>
          <w:sz w:val="24"/>
        </w:rPr>
        <w:t>2）</w:t>
      </w:r>
      <w:r>
        <w:rPr>
          <w:rFonts w:hint="eastAsia" w:ascii="仿宋_GB2312" w:hAnsi="仿宋_GB2312" w:eastAsia="仿宋_GB2312" w:cs="仿宋_GB2312"/>
          <w:color w:val="000000" w:themeColor="text1"/>
          <w:sz w:val="24"/>
          <w:lang w:val="zh-CN"/>
        </w:rPr>
        <w:t>中成药:</w:t>
      </w:r>
    </w:p>
    <w:p>
      <w:pPr>
        <w:autoSpaceDE w:val="0"/>
        <w:autoSpaceDN w:val="0"/>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 xml:space="preserve"> 根据中医证候，辨证使用口服中成药如三七通疏胶囊、筋骨痛消丸等。</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2.中医药适宜技术疗法</w:t>
      </w:r>
    </w:p>
    <w:p>
      <w:pPr>
        <w:spacing w:line="400" w:lineRule="exact"/>
        <w:ind w:firstLine="480" w:firstLineChars="200"/>
        <w:rPr>
          <w:rFonts w:ascii="仿宋_GB2312" w:hAnsi="仿宋_GB2312" w:eastAsia="仿宋_GB2312" w:cs="仿宋_GB2312"/>
          <w:bCs/>
          <w:color w:val="000000" w:themeColor="text1"/>
          <w:sz w:val="24"/>
        </w:rPr>
      </w:pPr>
      <w:r>
        <w:rPr>
          <w:rFonts w:hint="eastAsia" w:ascii="仿宋_GB2312" w:hAnsi="仿宋_GB2312" w:eastAsia="仿宋_GB2312" w:cs="仿宋_GB2312"/>
          <w:bCs/>
          <w:color w:val="000000" w:themeColor="text1"/>
          <w:sz w:val="24"/>
        </w:rPr>
        <w:t>（1）毫针刺法: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主穴：肩前、肩髎、肩髃、臑俞、外关、合谷</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配穴：若风寒重可加用风门、风池穴；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若湿重，可加用曲池、阴陵泉穴；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若有瘀滞可加用肩贞、阳陵泉、条口穴。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操作方法：上述穴位针刺得气后，采用补泻兼施手法，留针30分钟，每日1次，10次一疗程，共计3疗程。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亦可选用电针刺激：选用G6805-2型电针，在以上穴位针刺得气后肩前、肩髎一组、肩髃、臑俞一组，两组穴位交替使用电针刺激，刺激参数为疏密波（2-20Hz）、调整强度至患者可耐受为度，留针至30min。</w:t>
      </w:r>
    </w:p>
    <w:p>
      <w:pPr>
        <w:spacing w:line="400" w:lineRule="exact"/>
        <w:ind w:firstLine="480" w:firstLineChars="200"/>
        <w:rPr>
          <w:rFonts w:ascii="仿宋_GB2312" w:hAnsi="仿宋_GB2312" w:eastAsia="仿宋_GB2312" w:cs="仿宋_GB2312"/>
          <w:b/>
          <w:bCs/>
          <w:color w:val="000000" w:themeColor="text1"/>
          <w:sz w:val="24"/>
        </w:rPr>
      </w:pPr>
      <w:r>
        <w:rPr>
          <w:rFonts w:hint="eastAsia" w:ascii="仿宋_GB2312" w:hAnsi="仿宋_GB2312" w:eastAsia="仿宋_GB2312" w:cs="仿宋_GB2312"/>
          <w:bCs/>
          <w:color w:val="000000" w:themeColor="text1"/>
          <w:sz w:val="24"/>
        </w:rPr>
        <w:t>（2）艾灸疗法</w:t>
      </w:r>
      <w:r>
        <w:rPr>
          <w:rFonts w:hint="eastAsia" w:ascii="仿宋_GB2312" w:hAnsi="仿宋_GB2312" w:eastAsia="仿宋_GB2312" w:cs="仿宋_GB2312"/>
          <w:b/>
          <w:bCs/>
          <w:color w:val="000000" w:themeColor="text1"/>
          <w:sz w:val="24"/>
        </w:rPr>
        <w:t>：</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①温针灸：在肩前、肩髎、肩髃、臑俞等局部腧穴针刺得气后，选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用2-3个腧穴实施温针灸，连续施灸2-3壮（每壮3克艾绒）。</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②艾条灸：选取肩前、肩髎、肩髃、臑俞、天宗等穴，选择回旋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灸、雀啄灸或温和灸的方法，每次治疗30分钟，每日1次，10次一疗程，共计3疗程</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w:t>
      </w:r>
      <w:r>
        <w:rPr>
          <w:rFonts w:hint="eastAsia" w:ascii="仿宋_GB2312" w:hAnsi="仿宋_GB2312" w:eastAsia="仿宋_GB2312" w:cs="仿宋_GB2312"/>
          <w:color w:val="000000" w:themeColor="text1"/>
          <w:sz w:val="24"/>
        </w:rPr>
        <w:t>3）</w:t>
      </w:r>
      <w:r>
        <w:rPr>
          <w:rFonts w:hint="eastAsia" w:ascii="仿宋_GB2312" w:hAnsi="仿宋_GB2312" w:eastAsia="仿宋_GB2312" w:cs="仿宋_GB2312"/>
          <w:color w:val="000000" w:themeColor="text1"/>
          <w:sz w:val="24"/>
          <w:lang w:val="zh-CN"/>
        </w:rPr>
        <w:t>穴位放血疗法：七星针叩刺</w:t>
      </w:r>
      <w:r>
        <w:rPr>
          <w:rFonts w:hint="eastAsia" w:ascii="仿宋_GB2312" w:hAnsi="仿宋_GB2312" w:eastAsia="仿宋_GB2312" w:cs="仿宋_GB2312"/>
          <w:color w:val="000000" w:themeColor="text1"/>
          <w:sz w:val="24"/>
        </w:rPr>
        <w:t>肩髎、肩髃、天宗穴</w:t>
      </w:r>
      <w:r>
        <w:rPr>
          <w:rFonts w:hint="eastAsia" w:ascii="仿宋_GB2312" w:hAnsi="仿宋_GB2312" w:eastAsia="仿宋_GB2312" w:cs="仿宋_GB2312"/>
          <w:color w:val="000000" w:themeColor="text1"/>
          <w:sz w:val="24"/>
          <w:lang w:val="zh-CN"/>
        </w:rPr>
        <w:t>，用抽吸罐</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抽吸出血，每穴约2分钟。或在尺泽穴的部位用三棱针点刺出血，每周治疗1次，此法可用于病程较长的肩凝症。连续4周。</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lang w:val="zh-CN"/>
        </w:rPr>
        <w:t>（</w:t>
      </w:r>
      <w:r>
        <w:rPr>
          <w:rFonts w:hint="eastAsia" w:ascii="仿宋_GB2312" w:hAnsi="仿宋_GB2312" w:eastAsia="仿宋_GB2312" w:cs="仿宋_GB2312"/>
          <w:color w:val="000000" w:themeColor="text1"/>
          <w:sz w:val="24"/>
        </w:rPr>
        <w:t>4）</w:t>
      </w:r>
      <w:r>
        <w:rPr>
          <w:rFonts w:hint="eastAsia" w:ascii="仿宋_GB2312" w:hAnsi="仿宋_GB2312" w:eastAsia="仿宋_GB2312" w:cs="仿宋_GB2312"/>
          <w:color w:val="000000" w:themeColor="text1"/>
          <w:sz w:val="24"/>
          <w:lang w:val="zh-CN"/>
        </w:rPr>
        <w:t>耳压疗法：</w:t>
      </w:r>
    </w:p>
    <w:p>
      <w:pPr>
        <w:spacing w:line="400" w:lineRule="exact"/>
        <w:ind w:firstLine="480" w:firstLineChars="200"/>
        <w:rPr>
          <w:rFonts w:ascii="仿宋_GB2312" w:hAnsi="仿宋_GB2312" w:eastAsia="仿宋_GB2312" w:cs="仿宋_GB2312"/>
          <w:color w:val="000000" w:themeColor="text1"/>
          <w:sz w:val="24"/>
          <w:lang w:val="zh-CN"/>
        </w:rPr>
      </w:pPr>
      <w:r>
        <w:rPr>
          <w:rFonts w:hint="eastAsia" w:ascii="仿宋_GB2312" w:hAnsi="仿宋_GB2312" w:eastAsia="仿宋_GB2312" w:cs="仿宋_GB2312"/>
          <w:color w:val="000000" w:themeColor="text1"/>
          <w:sz w:val="24"/>
        </w:rPr>
        <w:t>①选</w:t>
      </w:r>
      <w:r>
        <w:rPr>
          <w:rFonts w:hint="eastAsia" w:ascii="仿宋_GB2312" w:hAnsi="仿宋_GB2312" w:eastAsia="仿宋_GB2312" w:cs="仿宋_GB2312"/>
          <w:color w:val="000000" w:themeColor="text1"/>
          <w:sz w:val="24"/>
          <w:lang w:val="zh-CN"/>
        </w:rPr>
        <w:t>耳穴：多选神门、交感、颈椎、肩等穴位</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②治疗方法：选用王不留行籽或磁珠或耳针于上述穴位或明显反应点予以压籽或耳针治疗，每次可选3-5穴，双耳交替，3日更换一次。</w:t>
      </w:r>
      <w:r>
        <w:rPr>
          <w:rFonts w:hint="eastAsia" w:ascii="仿宋_GB2312" w:hAnsi="仿宋_GB2312" w:eastAsia="仿宋_GB2312" w:cs="仿宋_GB2312"/>
          <w:bCs/>
          <w:color w:val="000000" w:themeColor="text1"/>
          <w:sz w:val="24"/>
        </w:rPr>
        <w:t>耳穴留针期间，患者压耳穴2-3次，每次共3分钟。共计治疗30天。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bCs/>
          <w:color w:val="000000" w:themeColor="text1"/>
          <w:sz w:val="24"/>
        </w:rPr>
        <w:t>（5）推拿疗法</w:t>
      </w:r>
      <w:r>
        <w:rPr>
          <w:rFonts w:hint="eastAsia" w:ascii="仿宋_GB2312" w:hAnsi="仿宋_GB2312" w:eastAsia="仿宋_GB2312" w:cs="仿宋_GB2312"/>
          <w:color w:val="000000" w:themeColor="text1"/>
          <w:sz w:val="24"/>
        </w:rPr>
        <w:t>：</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①治则：松解粘连、滑利关节、缓解疼痛。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②治疗方法：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首先患者坐位，医者站于患侧，用滚法、揉法、拿法等放松肩关节</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周围肌肉5-8分钟，重点在肩前部、三角肌部及肩后部。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其次医者一手扶住患肩部，另一手握住患者腕部或托住肘部，以肩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关节为轴心做环转摇动，幅度由小到大，然后再做肩关节内收、外展、后伸及内旋等扳法，松解粘连，滑利关节。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最后点按压痛点，肩井穴、天宗、肩贞等穴，以酸胀为度，弹拨粘连部位及压痛点，解痉止痛，剥离粘连。</w:t>
      </w:r>
    </w:p>
    <w:p>
      <w:pPr>
        <w:spacing w:line="400" w:lineRule="exact"/>
        <w:ind w:firstLine="480" w:firstLineChars="200"/>
        <w:rPr>
          <w:rFonts w:ascii="仿宋_GB2312" w:hAnsi="仿宋_GB2312" w:eastAsia="仿宋_GB2312" w:cs="仿宋_GB2312"/>
          <w:bCs/>
          <w:color w:val="000000" w:themeColor="text1"/>
          <w:sz w:val="24"/>
        </w:rPr>
      </w:pPr>
      <w:r>
        <w:rPr>
          <w:rFonts w:hint="eastAsia" w:ascii="仿宋_GB2312" w:hAnsi="仿宋_GB2312" w:eastAsia="仿宋_GB2312" w:cs="仿宋_GB2312"/>
          <w:bCs/>
          <w:color w:val="000000" w:themeColor="text1"/>
          <w:sz w:val="24"/>
        </w:rPr>
        <w:t>（6）针刀疗法：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①部位选择：</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主穴：阿是穴（痛点）。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配穴: 相关肌肉起止点。</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②操作方法：患者取坐位，患肢下垂，肩部铺无菌洞巾，术者分别</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在患者喙突肩峰下、冈上肌、冈下肌抵止点、大圆肌、小圆肌抵止点，找出敏感压痛点，并用标记，术区常规消毒，2%利多卡因皮丘麻醉，使用汉章4号针刀，刀口线与肌纤维走行方向平行刺入，直达骨面，先纵行、后横行拨离及切开剥离，出小针刀后，可在刀口处挤出瘀血数滴，更有利于局部代谢加快，然后纱布敷盖固定。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③治疗时间及疗程：根据病情的轻重程度及病史长短，10天治疗一</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次，每次可选2-4个穴位进行治疗，共计3疗程。</w:t>
      </w:r>
    </w:p>
    <w:p>
      <w:pPr>
        <w:spacing w:line="400" w:lineRule="exact"/>
        <w:ind w:firstLine="480" w:firstLineChars="200"/>
        <w:rPr>
          <w:rFonts w:ascii="仿宋_GB2312" w:hAnsi="仿宋_GB2312" w:eastAsia="仿宋_GB2312" w:cs="仿宋_GB2312"/>
          <w:b/>
          <w:bCs/>
          <w:color w:val="000000" w:themeColor="text1"/>
          <w:sz w:val="24"/>
        </w:rPr>
      </w:pPr>
      <w:r>
        <w:rPr>
          <w:rFonts w:hint="eastAsia" w:ascii="仿宋_GB2312" w:hAnsi="仿宋_GB2312" w:eastAsia="仿宋_GB2312" w:cs="仿宋_GB2312"/>
          <w:bCs/>
          <w:color w:val="000000" w:themeColor="text1"/>
          <w:sz w:val="24"/>
        </w:rPr>
        <w:t>（7）拔罐疗法</w:t>
      </w:r>
      <w:r>
        <w:rPr>
          <w:rFonts w:hint="eastAsia" w:ascii="仿宋_GB2312" w:hAnsi="仿宋_GB2312" w:eastAsia="仿宋_GB2312" w:cs="仿宋_GB2312"/>
          <w:b/>
          <w:bCs/>
          <w:color w:val="000000" w:themeColor="text1"/>
          <w:sz w:val="24"/>
        </w:rPr>
        <w:t>：</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①治则：活血化瘀、通络止痛。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②取穴：病变压痛点（阿是穴）、肩前、肩髎、肩髃、臑俞。</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③操作：每次选用3-5个穴位，根据病人情况酌情采用火罐、抽气</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罐、走罐等方法，留罐时间根据不同方案而定，疗程与针刺相同。</w:t>
      </w:r>
    </w:p>
    <w:p>
      <w:pPr>
        <w:spacing w:line="400" w:lineRule="exact"/>
        <w:ind w:firstLine="480" w:firstLineChars="200"/>
        <w:rPr>
          <w:rFonts w:ascii="仿宋_GB2312" w:hAnsi="仿宋_GB2312" w:eastAsia="仿宋_GB2312" w:cs="仿宋_GB2312"/>
          <w:bCs/>
          <w:color w:val="000000" w:themeColor="text1"/>
          <w:sz w:val="24"/>
        </w:rPr>
      </w:pPr>
      <w:r>
        <w:rPr>
          <w:rFonts w:hint="eastAsia" w:ascii="仿宋_GB2312" w:hAnsi="仿宋_GB2312" w:eastAsia="仿宋_GB2312" w:cs="仿宋_GB2312"/>
          <w:bCs/>
          <w:color w:val="000000" w:themeColor="text1"/>
          <w:sz w:val="24"/>
        </w:rPr>
        <w:t>（8）其他疗法如熏洗疗法、穴位注射疗法、物理治疗等，根据实际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bCs/>
          <w:color w:val="000000" w:themeColor="text1"/>
          <w:sz w:val="24"/>
        </w:rPr>
        <w:t>情况选用。</w:t>
      </w:r>
    </w:p>
    <w:p>
      <w:pPr>
        <w:autoSpaceDE w:val="0"/>
        <w:autoSpaceDN w:val="0"/>
        <w:adjustRightInd w:val="0"/>
        <w:spacing w:line="400" w:lineRule="exact"/>
        <w:ind w:firstLine="481" w:firstLineChars="200"/>
        <w:jc w:val="left"/>
        <w:outlineLvl w:val="0"/>
        <w:rPr>
          <w:rFonts w:ascii="仿宋_GB2312" w:hAnsi="仿宋_GB2312" w:eastAsia="仿宋_GB2312" w:cs="仿宋_GB2312"/>
          <w:b/>
          <w:color w:val="000000" w:themeColor="text1"/>
          <w:kern w:val="0"/>
          <w:sz w:val="24"/>
        </w:rPr>
      </w:pPr>
      <w:r>
        <w:rPr>
          <w:rFonts w:hint="eastAsia" w:ascii="仿宋_GB2312" w:hAnsi="仿宋_GB2312" w:eastAsia="仿宋_GB2312" w:cs="仿宋_GB2312"/>
          <w:b/>
          <w:color w:val="000000" w:themeColor="text1"/>
          <w:kern w:val="0"/>
          <w:sz w:val="24"/>
        </w:rPr>
        <w:t>（九）完成路径标准</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1.肩部疼痛改善，视觉模拟评分（VAS）≤2分。</w:t>
      </w:r>
    </w:p>
    <w:p>
      <w:pPr>
        <w:autoSpaceDE w:val="0"/>
        <w:autoSpaceDN w:val="0"/>
        <w:adjustRightInd w:val="0"/>
        <w:spacing w:line="400" w:lineRule="exact"/>
        <w:ind w:firstLine="480" w:firstLineChars="200"/>
        <w:jc w:val="left"/>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kern w:val="0"/>
          <w:sz w:val="24"/>
        </w:rPr>
        <w:t>2.肩关节活动度改善，肩关节活动功能达到≥4级。</w:t>
      </w:r>
    </w:p>
    <w:p>
      <w:pPr>
        <w:pStyle w:val="15"/>
        <w:spacing w:line="400" w:lineRule="exact"/>
        <w:ind w:firstLine="481" w:firstLineChars="200"/>
        <w:rPr>
          <w:rFonts w:ascii="仿宋_GB2312" w:hAnsi="仿宋_GB2312" w:eastAsia="仿宋_GB2312" w:cs="仿宋_GB2312"/>
          <w:b/>
          <w:color w:val="000000" w:themeColor="text1"/>
          <w:kern w:val="0"/>
        </w:rPr>
      </w:pPr>
      <w:r>
        <w:rPr>
          <w:rFonts w:hint="eastAsia" w:ascii="仿宋_GB2312" w:hAnsi="仿宋_GB2312" w:eastAsia="仿宋_GB2312" w:cs="仿宋_GB2312"/>
          <w:b/>
          <w:color w:val="000000" w:themeColor="text1"/>
          <w:kern w:val="0"/>
        </w:rPr>
        <w:t>（十）有无变异及原因分析</w:t>
      </w:r>
    </w:p>
    <w:p>
      <w:pPr>
        <w:pStyle w:val="15"/>
        <w:spacing w:line="400" w:lineRule="exact"/>
        <w:ind w:firstLine="480" w:firstLineChars="20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kern w:val="0"/>
        </w:rPr>
        <w:t>1.治疗期间合并其他疾病，需要其他特殊治疗，退出本路径。</w:t>
      </w:r>
    </w:p>
    <w:p>
      <w:pPr>
        <w:pStyle w:val="15"/>
        <w:spacing w:line="400" w:lineRule="exact"/>
        <w:ind w:firstLine="480" w:firstLineChars="20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kern w:val="0"/>
        </w:rPr>
        <w:t>2.因患者及家属意愿而影响本路径的执行，退出本路径。</w:t>
      </w:r>
    </w:p>
    <w:p>
      <w:pPr>
        <w:pStyle w:val="15"/>
        <w:spacing w:line="600" w:lineRule="exact"/>
        <w:ind w:firstLine="0"/>
        <w:jc w:val="center"/>
        <w:rPr>
          <w:rFonts w:ascii="方正小标宋简体" w:hAnsi="方正小标宋简体" w:eastAsia="方正小标宋简体" w:cs="方正小标宋简体"/>
          <w:bCs/>
          <w:color w:val="000000" w:themeColor="text1"/>
          <w:sz w:val="36"/>
          <w:szCs w:val="36"/>
        </w:rPr>
        <w:sectPr>
          <w:footerReference r:id="rId9" w:type="default"/>
          <w:footerReference r:id="rId10" w:type="even"/>
          <w:pgSz w:w="11850" w:h="16840"/>
          <w:pgMar w:top="1985" w:right="1588" w:bottom="1985" w:left="1588" w:header="720" w:footer="720" w:gutter="0"/>
          <w:pgNumType w:fmt="numberInDash"/>
          <w:cols w:space="720" w:num="1"/>
        </w:sectPr>
      </w:pPr>
    </w:p>
    <w:p>
      <w:pPr>
        <w:pStyle w:val="15"/>
        <w:spacing w:line="600" w:lineRule="exact"/>
        <w:ind w:firstLine="0"/>
        <w:jc w:val="center"/>
        <w:rPr>
          <w:rFonts w:ascii="仿宋_GB2312" w:hAnsi="方正小标宋简体" w:eastAsia="仿宋_GB2312" w:cs="方正小标宋简体"/>
          <w:b/>
          <w:bCs/>
          <w:color w:val="000000" w:themeColor="text1"/>
          <w:kern w:val="0"/>
          <w:sz w:val="32"/>
          <w:szCs w:val="32"/>
        </w:rPr>
      </w:pPr>
      <w:r>
        <w:rPr>
          <w:rFonts w:hint="eastAsia" w:ascii="仿宋_GB2312" w:hAnsi="方正小标宋简体" w:eastAsia="仿宋_GB2312" w:cs="方正小标宋简体"/>
          <w:b/>
          <w:bCs/>
          <w:color w:val="000000" w:themeColor="text1"/>
          <w:sz w:val="32"/>
          <w:szCs w:val="32"/>
        </w:rPr>
        <w:t>二</w:t>
      </w:r>
      <w:r>
        <w:rPr>
          <w:rFonts w:hint="eastAsia" w:ascii="仿宋_GB2312" w:hAnsi="方正小标宋简体" w:eastAsia="仿宋_GB2312" w:cs="方正小标宋简体"/>
          <w:b/>
          <w:bCs/>
          <w:color w:val="000000" w:themeColor="text1"/>
          <w:kern w:val="0"/>
          <w:sz w:val="32"/>
          <w:szCs w:val="32"/>
        </w:rPr>
        <w:t>、肩凝症（肩周炎）日间病床临床路径表单</w:t>
      </w:r>
    </w:p>
    <w:p>
      <w:pPr>
        <w:pStyle w:val="15"/>
        <w:spacing w:line="400" w:lineRule="exact"/>
        <w:ind w:firstLine="0"/>
        <w:rPr>
          <w:rFonts w:ascii="仿宋_GB2312" w:hAnsi="仿宋_GB2312" w:eastAsia="仿宋_GB2312" w:cs="仿宋_GB2312"/>
          <w:color w:val="000000" w:themeColor="text1"/>
          <w:kern w:val="0"/>
        </w:rPr>
      </w:pPr>
      <w:r>
        <w:rPr>
          <w:rFonts w:hint="eastAsia" w:ascii="仿宋_GB2312" w:hAnsi="仿宋_GB2312" w:eastAsia="仿宋_GB2312" w:cs="仿宋_GB2312"/>
          <w:color w:val="000000" w:themeColor="text1"/>
          <w:kern w:val="0"/>
        </w:rPr>
        <w:t>适用对象:第一诊断中医：肩凝证（TCD：BNV262）</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标准住院日：≤30天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10772" w:type="dxa"/>
        <w:jc w:val="center"/>
        <w:tblLayout w:type="fixed"/>
        <w:tblCellMar>
          <w:top w:w="0" w:type="dxa"/>
          <w:left w:w="108" w:type="dxa"/>
          <w:bottom w:w="0" w:type="dxa"/>
          <w:right w:w="108" w:type="dxa"/>
        </w:tblCellMar>
      </w:tblPr>
      <w:tblGrid>
        <w:gridCol w:w="1556"/>
        <w:gridCol w:w="4618"/>
        <w:gridCol w:w="4598"/>
      </w:tblGrid>
      <w:tr>
        <w:tblPrEx>
          <w:tblCellMar>
            <w:top w:w="0" w:type="dxa"/>
            <w:left w:w="108" w:type="dxa"/>
            <w:bottom w:w="0" w:type="dxa"/>
            <w:right w:w="108" w:type="dxa"/>
          </w:tblCellMar>
        </w:tblPrEx>
        <w:trPr>
          <w:trHeight w:val="450" w:hRule="atLeast"/>
          <w:jc w:val="center"/>
        </w:trPr>
        <w:tc>
          <w:tcPr>
            <w:tcW w:w="1556"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时间</w:t>
            </w:r>
          </w:p>
        </w:tc>
        <w:tc>
          <w:tcPr>
            <w:tcW w:w="4618" w:type="dxa"/>
            <w:tcBorders>
              <w:top w:val="single" w:color="auto" w:sz="6" w:space="0"/>
              <w:left w:val="single" w:color="auto" w:sz="6" w:space="0"/>
              <w:bottom w:val="single" w:color="auto" w:sz="6" w:space="0"/>
              <w:right w:val="single" w:color="auto" w:sz="6" w:space="0"/>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仿宋_GB2312"/>
                <w:color w:val="000000" w:themeColor="text1"/>
                <w:szCs w:val="21"/>
                <w:lang w:val="zh-CN"/>
              </w:rPr>
            </w:pPr>
            <w:r>
              <w:rPr>
                <w:rFonts w:hint="eastAsia" w:ascii="仿宋_GB2312" w:hAnsi="Times New Roman" w:eastAsia="仿宋_GB2312" w:cs="Times New Roman"/>
                <w:color w:val="000000" w:themeColor="text1"/>
                <w:szCs w:val="21"/>
              </w:rPr>
              <w:t>（第1天）</w:t>
            </w:r>
          </w:p>
        </w:tc>
        <w:tc>
          <w:tcPr>
            <w:tcW w:w="4598" w:type="dxa"/>
            <w:tcBorders>
              <w:top w:val="single" w:color="auto" w:sz="6" w:space="0"/>
              <w:left w:val="single" w:color="auto" w:sz="6" w:space="0"/>
              <w:bottom w:val="single" w:color="auto" w:sz="6" w:space="0"/>
              <w:right w:val="single" w:color="auto" w:sz="6" w:space="0"/>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仿宋_GB2312"/>
                <w:color w:val="000000" w:themeColor="text1"/>
                <w:szCs w:val="21"/>
                <w:lang w:val="zh-CN"/>
              </w:rPr>
            </w:pPr>
            <w:r>
              <w:rPr>
                <w:rFonts w:hint="eastAsia" w:ascii="仿宋_GB2312" w:hAnsi="Times New Roman" w:eastAsia="仿宋_GB2312" w:cs="Times New Roman"/>
                <w:color w:val="000000" w:themeColor="text1"/>
                <w:szCs w:val="21"/>
              </w:rPr>
              <w:t>（第2-10天）</w:t>
            </w:r>
          </w:p>
        </w:tc>
      </w:tr>
      <w:tr>
        <w:tblPrEx>
          <w:tblCellMar>
            <w:top w:w="0" w:type="dxa"/>
            <w:left w:w="108" w:type="dxa"/>
            <w:bottom w:w="0" w:type="dxa"/>
            <w:right w:w="108" w:type="dxa"/>
          </w:tblCellMar>
        </w:tblPrEx>
        <w:trPr>
          <w:trHeight w:val="1875" w:hRule="atLeast"/>
          <w:jc w:val="center"/>
        </w:trPr>
        <w:tc>
          <w:tcPr>
            <w:tcW w:w="1556"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lang w:val="zh-CN"/>
              </w:rPr>
              <w:t>主要</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诊疗</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工作</w:t>
            </w:r>
          </w:p>
        </w:tc>
        <w:tc>
          <w:tcPr>
            <w:tcW w:w="4618" w:type="dxa"/>
            <w:tcBorders>
              <w:top w:val="single" w:color="auto" w:sz="6" w:space="0"/>
              <w:left w:val="single" w:color="auto" w:sz="6" w:space="0"/>
              <w:bottom w:val="nil"/>
              <w:right w:val="single" w:color="000000" w:sz="8" w:space="0"/>
            </w:tcBorders>
            <w:noWrap/>
          </w:tcPr>
          <w:p>
            <w:pPr>
              <w:autoSpaceDE w:val="0"/>
              <w:autoSpaceDN w:val="0"/>
              <w:adjustRightInd w:val="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pacing w:val="8"/>
                <w:kern w:val="0"/>
                <w:position w:val="-2"/>
                <w:szCs w:val="21"/>
              </w:rPr>
              <w:t>□询问病</w:t>
            </w:r>
            <w:r>
              <w:rPr>
                <w:rFonts w:hint="eastAsia" w:ascii="仿宋_GB2312" w:hAnsi="仿宋_GB2312" w:eastAsia="仿宋_GB2312" w:cs="仿宋_GB2312"/>
                <w:color w:val="000000" w:themeColor="text1"/>
                <w:spacing w:val="10"/>
                <w:kern w:val="0"/>
                <w:position w:val="-2"/>
                <w:szCs w:val="21"/>
              </w:rPr>
              <w:t>史</w:t>
            </w:r>
            <w:r>
              <w:rPr>
                <w:rFonts w:hint="eastAsia" w:ascii="仿宋_GB2312" w:hAnsi="仿宋_GB2312" w:eastAsia="仿宋_GB2312" w:cs="仿宋_GB2312"/>
                <w:color w:val="000000" w:themeColor="text1"/>
                <w:spacing w:val="8"/>
                <w:kern w:val="0"/>
                <w:position w:val="-2"/>
                <w:szCs w:val="21"/>
              </w:rPr>
              <w:t>与体格</w:t>
            </w:r>
            <w:r>
              <w:rPr>
                <w:rFonts w:hint="eastAsia" w:ascii="仿宋_GB2312" w:hAnsi="仿宋_GB2312" w:eastAsia="仿宋_GB2312" w:cs="仿宋_GB2312"/>
                <w:color w:val="000000" w:themeColor="text1"/>
                <w:kern w:val="0"/>
                <w:position w:val="-2"/>
                <w:szCs w:val="21"/>
              </w:rPr>
              <w:t>检查</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pacing w:val="8"/>
                <w:kern w:val="0"/>
                <w:szCs w:val="21"/>
              </w:rPr>
              <w:t>□中医四</w:t>
            </w:r>
            <w:r>
              <w:rPr>
                <w:rFonts w:hint="eastAsia" w:ascii="仿宋_GB2312" w:hAnsi="仿宋_GB2312" w:eastAsia="仿宋_GB2312" w:cs="仿宋_GB2312"/>
                <w:color w:val="000000" w:themeColor="text1"/>
                <w:spacing w:val="10"/>
                <w:kern w:val="0"/>
                <w:szCs w:val="21"/>
              </w:rPr>
              <w:t>诊</w:t>
            </w:r>
            <w:r>
              <w:rPr>
                <w:rFonts w:hint="eastAsia" w:ascii="仿宋_GB2312" w:hAnsi="仿宋_GB2312" w:eastAsia="仿宋_GB2312" w:cs="仿宋_GB2312"/>
                <w:color w:val="000000" w:themeColor="text1"/>
                <w:spacing w:val="8"/>
                <w:kern w:val="0"/>
                <w:szCs w:val="21"/>
              </w:rPr>
              <w:t>信息采</w:t>
            </w:r>
            <w:r>
              <w:rPr>
                <w:rFonts w:hint="eastAsia" w:ascii="仿宋_GB2312" w:hAnsi="仿宋_GB2312" w:eastAsia="仿宋_GB2312" w:cs="仿宋_GB2312"/>
                <w:color w:val="000000" w:themeColor="text1"/>
                <w:kern w:val="0"/>
                <w:szCs w:val="21"/>
              </w:rPr>
              <w:t>集</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pacing w:val="8"/>
                <w:kern w:val="0"/>
                <w:szCs w:val="21"/>
              </w:rPr>
              <w:t>□辅助</w:t>
            </w:r>
            <w:r>
              <w:rPr>
                <w:rFonts w:hint="eastAsia" w:ascii="仿宋_GB2312" w:hAnsi="仿宋_GB2312" w:eastAsia="仿宋_GB2312" w:cs="仿宋_GB2312"/>
                <w:color w:val="000000" w:themeColor="text1"/>
                <w:kern w:val="0"/>
                <w:szCs w:val="21"/>
              </w:rPr>
              <w:t>检查</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□必查项目:</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肩关节X线</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核磁共振</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□可选项目</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血常规</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凝血四项</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心电图</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血沉</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免疫三项</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肝肾功能</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血糖</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□完成初步诊断</w:t>
            </w:r>
          </w:p>
          <w:p>
            <w:pPr>
              <w:autoSpaceDE w:val="0"/>
              <w:autoSpaceDN w:val="0"/>
              <w:adjustRightInd w:val="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□中医辨证</w:t>
            </w:r>
          </w:p>
          <w:p>
            <w:pPr>
              <w:autoSpaceDE w:val="0"/>
              <w:autoSpaceDN w:val="0"/>
              <w:adjustRightInd w:val="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□确定治疗方法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□针刺疗法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□推拿疗法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□艾灸疗法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□针刀疗法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□耳压疗法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□拔罐疗法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□熏洗疗法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□穴位贴敷疗法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□穴位注射疗法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□穴位放血疗法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□其他疗法</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pacing w:val="8"/>
                <w:kern w:val="0"/>
                <w:szCs w:val="21"/>
              </w:rPr>
              <w:t>□完成首</w:t>
            </w:r>
            <w:r>
              <w:rPr>
                <w:rFonts w:hint="eastAsia" w:ascii="仿宋_GB2312" w:hAnsi="仿宋_GB2312" w:eastAsia="仿宋_GB2312" w:cs="仿宋_GB2312"/>
                <w:color w:val="000000" w:themeColor="text1"/>
                <w:spacing w:val="10"/>
                <w:kern w:val="0"/>
                <w:szCs w:val="21"/>
              </w:rPr>
              <w:t>次</w:t>
            </w:r>
            <w:r>
              <w:rPr>
                <w:rFonts w:hint="eastAsia" w:ascii="仿宋_GB2312" w:hAnsi="仿宋_GB2312" w:eastAsia="仿宋_GB2312" w:cs="仿宋_GB2312"/>
                <w:color w:val="000000" w:themeColor="text1"/>
                <w:spacing w:val="8"/>
                <w:kern w:val="0"/>
                <w:szCs w:val="21"/>
              </w:rPr>
              <w:t>记</w:t>
            </w:r>
            <w:r>
              <w:rPr>
                <w:rFonts w:hint="eastAsia" w:ascii="仿宋_GB2312" w:hAnsi="仿宋_GB2312" w:eastAsia="仿宋_GB2312" w:cs="仿宋_GB2312"/>
                <w:color w:val="000000" w:themeColor="text1"/>
                <w:kern w:val="0"/>
                <w:szCs w:val="21"/>
              </w:rPr>
              <w:t>录</w:t>
            </w:r>
          </w:p>
          <w:p>
            <w:pPr>
              <w:autoSpaceDE w:val="0"/>
              <w:autoSpaceDN w:val="0"/>
              <w:adjustRightInd w:val="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pacing w:val="8"/>
                <w:kern w:val="0"/>
                <w:szCs w:val="21"/>
              </w:rPr>
              <w:t>□与患者</w:t>
            </w:r>
            <w:r>
              <w:rPr>
                <w:rFonts w:hint="eastAsia" w:ascii="仿宋_GB2312" w:hAnsi="仿宋_GB2312" w:eastAsia="仿宋_GB2312" w:cs="仿宋_GB2312"/>
                <w:color w:val="000000" w:themeColor="text1"/>
                <w:spacing w:val="10"/>
                <w:kern w:val="0"/>
                <w:szCs w:val="21"/>
              </w:rPr>
              <w:t>或</w:t>
            </w:r>
            <w:r>
              <w:rPr>
                <w:rFonts w:hint="eastAsia" w:ascii="仿宋_GB2312" w:hAnsi="仿宋_GB2312" w:eastAsia="仿宋_GB2312" w:cs="仿宋_GB2312"/>
                <w:color w:val="000000" w:themeColor="text1"/>
                <w:spacing w:val="8"/>
                <w:kern w:val="0"/>
                <w:szCs w:val="21"/>
              </w:rPr>
              <w:t>家属沟通，交代</w:t>
            </w:r>
            <w:r>
              <w:rPr>
                <w:rFonts w:hint="eastAsia" w:ascii="仿宋_GB2312" w:hAnsi="仿宋_GB2312" w:eastAsia="仿宋_GB2312" w:cs="仿宋_GB2312"/>
                <w:color w:val="000000" w:themeColor="text1"/>
                <w:spacing w:val="10"/>
                <w:kern w:val="0"/>
                <w:szCs w:val="21"/>
              </w:rPr>
              <w:t>病</w:t>
            </w:r>
            <w:r>
              <w:rPr>
                <w:rFonts w:hint="eastAsia" w:ascii="仿宋_GB2312" w:hAnsi="仿宋_GB2312" w:eastAsia="仿宋_GB2312" w:cs="仿宋_GB2312"/>
                <w:color w:val="000000" w:themeColor="text1"/>
                <w:spacing w:val="8"/>
                <w:kern w:val="0"/>
                <w:szCs w:val="21"/>
              </w:rPr>
              <w:t>情及注</w:t>
            </w:r>
            <w:r>
              <w:rPr>
                <w:rFonts w:hint="eastAsia" w:ascii="仿宋_GB2312" w:hAnsi="仿宋_GB2312" w:eastAsia="仿宋_GB2312" w:cs="仿宋_GB2312"/>
                <w:color w:val="000000" w:themeColor="text1"/>
                <w:kern w:val="0"/>
                <w:szCs w:val="21"/>
              </w:rPr>
              <w:t>意事项</w:t>
            </w:r>
          </w:p>
          <w:p>
            <w:pPr>
              <w:autoSpaceDE w:val="0"/>
              <w:autoSpaceDN w:val="0"/>
              <w:rPr>
                <w:rFonts w:ascii="仿宋_GB2312" w:hAnsi="仿宋_GB2312" w:eastAsia="仿宋_GB2312" w:cs="仿宋_GB2312"/>
                <w:color w:val="000000" w:themeColor="text1"/>
                <w:szCs w:val="21"/>
                <w:lang w:val="zh-CN"/>
              </w:rPr>
            </w:pPr>
            <w:r>
              <w:rPr>
                <w:rFonts w:hint="eastAsia" w:ascii="仿宋_GB2312" w:hAnsi="仿宋_GB2312" w:eastAsia="仿宋_GB2312" w:cs="仿宋_GB2312"/>
                <w:color w:val="000000" w:themeColor="text1"/>
                <w:spacing w:val="8"/>
                <w:kern w:val="0"/>
                <w:szCs w:val="21"/>
              </w:rPr>
              <w:t>□</w:t>
            </w:r>
            <w:r>
              <w:rPr>
                <w:rFonts w:hint="eastAsia" w:ascii="仿宋_GB2312" w:hAnsi="仿宋_GB2312" w:eastAsia="仿宋_GB2312" w:cs="仿宋_GB2312"/>
                <w:color w:val="000000" w:themeColor="text1"/>
                <w:kern w:val="0"/>
                <w:szCs w:val="21"/>
              </w:rPr>
              <w:t>与患者或家属签署进入临床路径治疗同意书</w:t>
            </w:r>
          </w:p>
        </w:tc>
        <w:tc>
          <w:tcPr>
            <w:tcW w:w="4598" w:type="dxa"/>
            <w:tcBorders>
              <w:top w:val="single" w:color="auto" w:sz="6" w:space="0"/>
              <w:left w:val="nil"/>
              <w:bottom w:val="nil"/>
              <w:right w:val="single" w:color="000000" w:sz="8" w:space="0"/>
            </w:tcBorders>
            <w:noWrap/>
          </w:tcPr>
          <w:p>
            <w:pPr>
              <w:autoSpaceDE w:val="0"/>
              <w:autoSpaceDN w:val="0"/>
              <w:adjustRightInd w:val="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□选择治疗方法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□针刺疗法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□推拿疗法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□艾灸疗法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□针刀疗法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□耳压疗法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□拔罐疗法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□熏洗疗法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□穴位贴敷疗法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□穴位注射疗法</w:t>
            </w:r>
          </w:p>
          <w:p>
            <w:pPr>
              <w:tabs>
                <w:tab w:val="left" w:pos="2100"/>
              </w:tabs>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□穴位放血疗法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□其他疗法</w:t>
            </w:r>
          </w:p>
          <w:p>
            <w:pPr>
              <w:autoSpaceDE w:val="0"/>
              <w:autoSpaceDN w:val="0"/>
              <w:rPr>
                <w:rFonts w:ascii="仿宋_GB2312" w:hAnsi="仿宋_GB2312" w:eastAsia="仿宋_GB2312" w:cs="仿宋_GB2312"/>
                <w:color w:val="000000" w:themeColor="text1"/>
                <w:szCs w:val="21"/>
              </w:rPr>
            </w:pPr>
          </w:p>
          <w:p>
            <w:pPr>
              <w:autoSpaceDE w:val="0"/>
              <w:autoSpaceDN w:val="0"/>
              <w:rPr>
                <w:rFonts w:ascii="仿宋_GB2312" w:hAnsi="仿宋_GB2312" w:eastAsia="仿宋_GB2312" w:cs="仿宋_GB2312"/>
                <w:color w:val="000000" w:themeColor="text1"/>
                <w:szCs w:val="21"/>
                <w:lang w:val="zh-CN"/>
              </w:rPr>
            </w:pPr>
          </w:p>
          <w:p>
            <w:pPr>
              <w:autoSpaceDE w:val="0"/>
              <w:autoSpaceDN w:val="0"/>
              <w:rPr>
                <w:rFonts w:ascii="仿宋_GB2312" w:hAnsi="仿宋_GB2312" w:eastAsia="仿宋_GB2312" w:cs="仿宋_GB2312"/>
                <w:color w:val="000000" w:themeColor="text1"/>
                <w:szCs w:val="21"/>
                <w:lang w:val="zh-CN"/>
              </w:rPr>
            </w:pPr>
          </w:p>
        </w:tc>
      </w:tr>
      <w:tr>
        <w:tblPrEx>
          <w:tblCellMar>
            <w:top w:w="0" w:type="dxa"/>
            <w:left w:w="108" w:type="dxa"/>
            <w:bottom w:w="0" w:type="dxa"/>
            <w:right w:w="108" w:type="dxa"/>
          </w:tblCellMar>
        </w:tblPrEx>
        <w:trPr>
          <w:trHeight w:val="1058" w:hRule="atLeast"/>
          <w:jc w:val="center"/>
        </w:trPr>
        <w:tc>
          <w:tcPr>
            <w:tcW w:w="1556" w:type="dxa"/>
            <w:tcBorders>
              <w:top w:val="single" w:color="auto" w:sz="6" w:space="0"/>
              <w:left w:val="single" w:color="auto" w:sz="8" w:space="0"/>
              <w:bottom w:val="single" w:color="auto" w:sz="6" w:space="0"/>
              <w:right w:val="single" w:color="auto" w:sz="8"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病情</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变异</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记录</w:t>
            </w:r>
          </w:p>
        </w:tc>
        <w:tc>
          <w:tcPr>
            <w:tcW w:w="4618" w:type="dxa"/>
            <w:tcBorders>
              <w:top w:val="single" w:color="auto" w:sz="8" w:space="0"/>
              <w:left w:val="nil"/>
              <w:bottom w:val="nil"/>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c>
          <w:tcPr>
            <w:tcW w:w="4598" w:type="dxa"/>
            <w:tcBorders>
              <w:top w:val="single" w:color="auto" w:sz="8" w:space="0"/>
              <w:left w:val="nil"/>
              <w:bottom w:val="nil"/>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r>
      <w:tr>
        <w:tblPrEx>
          <w:tblCellMar>
            <w:top w:w="0" w:type="dxa"/>
            <w:left w:w="108" w:type="dxa"/>
            <w:bottom w:w="0" w:type="dxa"/>
            <w:right w:w="108" w:type="dxa"/>
          </w:tblCellMar>
        </w:tblPrEx>
        <w:trPr>
          <w:trHeight w:val="1142" w:hRule="atLeast"/>
          <w:jc w:val="center"/>
        </w:trPr>
        <w:tc>
          <w:tcPr>
            <w:tcW w:w="1556"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医师</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签名</w:t>
            </w:r>
          </w:p>
        </w:tc>
        <w:tc>
          <w:tcPr>
            <w:tcW w:w="4618" w:type="dxa"/>
            <w:tcBorders>
              <w:top w:val="single" w:color="auto" w:sz="8" w:space="0"/>
              <w:left w:val="single" w:color="auto" w:sz="6" w:space="0"/>
              <w:bottom w:val="single" w:color="auto" w:sz="4" w:space="0"/>
              <w:right w:val="single" w:color="000000" w:sz="8" w:space="0"/>
            </w:tcBorders>
            <w:noWrap/>
          </w:tcPr>
          <w:p>
            <w:pPr>
              <w:autoSpaceDE w:val="0"/>
              <w:autoSpaceDN w:val="0"/>
              <w:rPr>
                <w:rFonts w:ascii="仿宋_GB2312" w:hAnsi="仿宋_GB2312" w:eastAsia="仿宋_GB2312" w:cs="仿宋_GB2312"/>
                <w:color w:val="000000" w:themeColor="text1"/>
                <w:szCs w:val="21"/>
                <w:u w:val="single"/>
                <w:lang w:val="zh-CN"/>
              </w:rPr>
            </w:pPr>
          </w:p>
        </w:tc>
        <w:tc>
          <w:tcPr>
            <w:tcW w:w="4598" w:type="dxa"/>
            <w:tcBorders>
              <w:top w:val="single" w:color="auto" w:sz="8" w:space="0"/>
              <w:left w:val="nil"/>
              <w:bottom w:val="single" w:color="auto" w:sz="4" w:space="0"/>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r>
    </w:tbl>
    <w:p>
      <w:pPr>
        <w:autoSpaceDE w:val="0"/>
        <w:autoSpaceDN w:val="0"/>
        <w:rPr>
          <w:rFonts w:ascii="仿宋_GB2312" w:eastAsia="仿宋_GB2312" w:cs="宋体"/>
          <w:color w:val="000000" w:themeColor="text1"/>
          <w:szCs w:val="21"/>
          <w:lang w:val="zh-CN"/>
        </w:rPr>
        <w:sectPr>
          <w:pgSz w:w="11850" w:h="16840"/>
          <w:pgMar w:top="1134" w:right="1134" w:bottom="1134" w:left="1134" w:header="720" w:footer="720" w:gutter="0"/>
          <w:pgNumType w:fmt="numberInDash"/>
          <w:cols w:space="720" w:num="1"/>
        </w:sectPr>
      </w:pPr>
    </w:p>
    <w:tbl>
      <w:tblPr>
        <w:tblStyle w:val="10"/>
        <w:tblW w:w="10772" w:type="dxa"/>
        <w:jc w:val="center"/>
        <w:tblLayout w:type="fixed"/>
        <w:tblCellMar>
          <w:top w:w="0" w:type="dxa"/>
          <w:left w:w="108" w:type="dxa"/>
          <w:bottom w:w="0" w:type="dxa"/>
          <w:right w:w="108" w:type="dxa"/>
        </w:tblCellMar>
      </w:tblPr>
      <w:tblGrid>
        <w:gridCol w:w="1547"/>
        <w:gridCol w:w="4230"/>
        <w:gridCol w:w="4995"/>
      </w:tblGrid>
      <w:tr>
        <w:tblPrEx>
          <w:tblCellMar>
            <w:top w:w="0" w:type="dxa"/>
            <w:left w:w="108" w:type="dxa"/>
            <w:bottom w:w="0" w:type="dxa"/>
            <w:right w:w="108" w:type="dxa"/>
          </w:tblCellMar>
        </w:tblPrEx>
        <w:trPr>
          <w:trHeight w:val="450" w:hRule="atLeast"/>
          <w:jc w:val="center"/>
        </w:trPr>
        <w:tc>
          <w:tcPr>
            <w:tcW w:w="1267"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时间</w:t>
            </w:r>
          </w:p>
        </w:tc>
        <w:tc>
          <w:tcPr>
            <w:tcW w:w="3466" w:type="dxa"/>
            <w:tcBorders>
              <w:top w:val="single" w:color="auto" w:sz="6" w:space="0"/>
              <w:left w:val="single" w:color="auto" w:sz="6" w:space="0"/>
              <w:bottom w:val="single" w:color="auto" w:sz="6" w:space="0"/>
              <w:right w:val="single" w:color="auto" w:sz="6" w:space="0"/>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仿宋_GB2312"/>
                <w:color w:val="000000" w:themeColor="text1"/>
                <w:szCs w:val="21"/>
                <w:lang w:val="zh-CN"/>
              </w:rPr>
            </w:pPr>
            <w:r>
              <w:rPr>
                <w:rFonts w:hint="eastAsia" w:ascii="仿宋_GB2312" w:hAnsi="Times New Roman" w:eastAsia="仿宋_GB2312" w:cs="Times New Roman"/>
                <w:color w:val="000000" w:themeColor="text1"/>
                <w:szCs w:val="21"/>
              </w:rPr>
              <w:t>（第11-20天）</w:t>
            </w:r>
          </w:p>
        </w:tc>
        <w:tc>
          <w:tcPr>
            <w:tcW w:w="4093" w:type="dxa"/>
            <w:tcBorders>
              <w:top w:val="single" w:color="auto" w:sz="6" w:space="0"/>
              <w:left w:val="single" w:color="auto" w:sz="6" w:space="0"/>
              <w:bottom w:val="single" w:color="auto" w:sz="6" w:space="0"/>
              <w:right w:val="single" w:color="auto" w:sz="6" w:space="0"/>
            </w:tcBorders>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autoSpaceDE w:val="0"/>
              <w:autoSpaceDN w:val="0"/>
              <w:jc w:val="center"/>
              <w:rPr>
                <w:rFonts w:ascii="仿宋_GB2312" w:hAnsi="仿宋_GB2312" w:eastAsia="仿宋_GB2312" w:cs="仿宋_GB2312"/>
                <w:color w:val="000000" w:themeColor="text1"/>
                <w:szCs w:val="21"/>
                <w:lang w:val="zh-CN"/>
              </w:rPr>
            </w:pPr>
            <w:r>
              <w:rPr>
                <w:rFonts w:hint="eastAsia" w:ascii="仿宋_GB2312" w:hAnsi="Times New Roman" w:eastAsia="仿宋_GB2312" w:cs="Times New Roman"/>
                <w:color w:val="000000" w:themeColor="text1"/>
                <w:szCs w:val="21"/>
              </w:rPr>
              <w:t>（第21-30天）</w:t>
            </w:r>
          </w:p>
        </w:tc>
      </w:tr>
      <w:tr>
        <w:tblPrEx>
          <w:tblCellMar>
            <w:top w:w="0" w:type="dxa"/>
            <w:left w:w="108" w:type="dxa"/>
            <w:bottom w:w="0" w:type="dxa"/>
            <w:right w:w="108" w:type="dxa"/>
          </w:tblCellMar>
        </w:tblPrEx>
        <w:trPr>
          <w:trHeight w:val="1875" w:hRule="atLeast"/>
          <w:jc w:val="center"/>
        </w:trPr>
        <w:tc>
          <w:tcPr>
            <w:tcW w:w="1267"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lang w:val="zh-CN"/>
              </w:rPr>
              <w:t>主</w:t>
            </w:r>
          </w:p>
          <w:p>
            <w:pPr>
              <w:autoSpaceDE w:val="0"/>
              <w:autoSpaceDN w:val="0"/>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lang w:val="zh-CN"/>
              </w:rPr>
              <w:t>要</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诊</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疗</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工</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作</w:t>
            </w:r>
          </w:p>
        </w:tc>
        <w:tc>
          <w:tcPr>
            <w:tcW w:w="3466" w:type="dxa"/>
            <w:tcBorders>
              <w:top w:val="single" w:color="auto" w:sz="6" w:space="0"/>
              <w:left w:val="single" w:color="auto" w:sz="6" w:space="0"/>
              <w:bottom w:val="nil"/>
              <w:right w:val="single" w:color="000000" w:sz="8" w:space="0"/>
            </w:tcBorders>
            <w:noWrap/>
          </w:tcPr>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□中医四</w:t>
            </w:r>
            <w:r>
              <w:rPr>
                <w:rFonts w:hint="eastAsia" w:ascii="仿宋_GB2312" w:hAnsi="仿宋_GB2312" w:eastAsia="仿宋_GB2312" w:cs="仿宋_GB2312"/>
                <w:color w:val="000000" w:themeColor="text1"/>
                <w:spacing w:val="1"/>
                <w:kern w:val="0"/>
                <w:position w:val="-2"/>
                <w:szCs w:val="21"/>
              </w:rPr>
              <w:t>诊</w:t>
            </w:r>
            <w:r>
              <w:rPr>
                <w:rFonts w:hint="eastAsia" w:ascii="仿宋_GB2312" w:hAnsi="仿宋_GB2312" w:eastAsia="仿宋_GB2312" w:cs="仿宋_GB2312"/>
                <w:color w:val="000000" w:themeColor="text1"/>
                <w:kern w:val="0"/>
                <w:position w:val="-2"/>
                <w:szCs w:val="21"/>
              </w:rPr>
              <w:t>信息采集</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□中医辨证</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□疗效评价(每疗程1次)</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□根据病情需要完善诊疗方案</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□根据病</w:t>
            </w:r>
            <w:r>
              <w:rPr>
                <w:rFonts w:hint="eastAsia" w:ascii="仿宋_GB2312" w:hAnsi="仿宋_GB2312" w:eastAsia="仿宋_GB2312" w:cs="仿宋_GB2312"/>
                <w:color w:val="000000" w:themeColor="text1"/>
                <w:spacing w:val="1"/>
                <w:kern w:val="0"/>
                <w:szCs w:val="21"/>
              </w:rPr>
              <w:t>情</w:t>
            </w:r>
            <w:r>
              <w:rPr>
                <w:rFonts w:hint="eastAsia" w:ascii="仿宋_GB2312" w:hAnsi="仿宋_GB2312" w:eastAsia="仿宋_GB2312" w:cs="仿宋_GB2312"/>
                <w:color w:val="000000" w:themeColor="text1"/>
                <w:kern w:val="0"/>
                <w:szCs w:val="21"/>
              </w:rPr>
              <w:t>变化调整治疗方法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□针刺疗法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□推拿疗法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□艾灸疗法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□针刀疗法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□耳压疗法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□拔罐疗法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□熏洗疗法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□穴位贴敷疗法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□穴位注射疗法</w:t>
            </w:r>
          </w:p>
          <w:p>
            <w:pPr>
              <w:tabs>
                <w:tab w:val="left" w:pos="2100"/>
              </w:tabs>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□穴位放血疗法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□其他疗法</w:t>
            </w:r>
          </w:p>
          <w:p>
            <w:pPr>
              <w:autoSpaceDE w:val="0"/>
              <w:autoSpaceDN w:val="0"/>
              <w:rPr>
                <w:rFonts w:ascii="仿宋_GB2312" w:hAnsi="仿宋_GB2312" w:eastAsia="仿宋_GB2312" w:cs="仿宋_GB2312"/>
                <w:color w:val="000000" w:themeColor="text1"/>
                <w:szCs w:val="21"/>
                <w:lang w:val="zh-CN"/>
              </w:rPr>
            </w:pPr>
            <w:r>
              <w:rPr>
                <w:rFonts w:hint="eastAsia" w:ascii="仿宋_GB2312" w:hAnsi="仿宋_GB2312" w:eastAsia="仿宋_GB2312" w:cs="仿宋_GB2312"/>
                <w:color w:val="000000" w:themeColor="text1"/>
                <w:kern w:val="0"/>
                <w:position w:val="-2"/>
                <w:szCs w:val="21"/>
              </w:rPr>
              <w:t>□完成病程记录</w:t>
            </w:r>
          </w:p>
        </w:tc>
        <w:tc>
          <w:tcPr>
            <w:tcW w:w="4093" w:type="dxa"/>
            <w:tcBorders>
              <w:top w:val="single" w:color="auto" w:sz="6" w:space="0"/>
              <w:left w:val="nil"/>
              <w:bottom w:val="nil"/>
              <w:right w:val="single" w:color="000000" w:sz="8" w:space="0"/>
            </w:tcBorders>
            <w:noWrap/>
          </w:tcPr>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□中医四</w:t>
            </w:r>
            <w:r>
              <w:rPr>
                <w:rFonts w:hint="eastAsia" w:ascii="仿宋_GB2312" w:hAnsi="仿宋_GB2312" w:eastAsia="仿宋_GB2312" w:cs="仿宋_GB2312"/>
                <w:color w:val="000000" w:themeColor="text1"/>
                <w:spacing w:val="1"/>
                <w:kern w:val="0"/>
                <w:position w:val="-2"/>
                <w:szCs w:val="21"/>
              </w:rPr>
              <w:t>诊</w:t>
            </w:r>
            <w:r>
              <w:rPr>
                <w:rFonts w:hint="eastAsia" w:ascii="仿宋_GB2312" w:hAnsi="仿宋_GB2312" w:eastAsia="仿宋_GB2312" w:cs="仿宋_GB2312"/>
                <w:color w:val="000000" w:themeColor="text1"/>
                <w:kern w:val="0"/>
                <w:position w:val="-2"/>
                <w:szCs w:val="21"/>
              </w:rPr>
              <w:t>信息采集</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□中医辨证</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□疗效评价(每疗程1次)</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□根据病</w:t>
            </w:r>
            <w:r>
              <w:rPr>
                <w:rFonts w:hint="eastAsia" w:ascii="仿宋_GB2312" w:hAnsi="仿宋_GB2312" w:eastAsia="仿宋_GB2312" w:cs="仿宋_GB2312"/>
                <w:color w:val="000000" w:themeColor="text1"/>
                <w:spacing w:val="1"/>
                <w:kern w:val="0"/>
                <w:szCs w:val="21"/>
              </w:rPr>
              <w:t>情</w:t>
            </w:r>
            <w:r>
              <w:rPr>
                <w:rFonts w:hint="eastAsia" w:ascii="仿宋_GB2312" w:hAnsi="仿宋_GB2312" w:eastAsia="仿宋_GB2312" w:cs="仿宋_GB2312"/>
                <w:color w:val="000000" w:themeColor="text1"/>
                <w:kern w:val="0"/>
                <w:szCs w:val="21"/>
              </w:rPr>
              <w:t>变化调整治疗方法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□针刺疗法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□推拿疗法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□艾灸疗法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□针刀疗法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□耳压疗法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□拔罐疗法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□熏洗疗法</w:t>
            </w:r>
          </w:p>
          <w:p>
            <w:pPr>
              <w:autoSpaceDE w:val="0"/>
              <w:autoSpaceDN w:val="0"/>
              <w:adjustRightInd w:val="0"/>
              <w:jc w:val="left"/>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□穴位贴敷疗法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□穴位注射疗法</w:t>
            </w:r>
          </w:p>
          <w:p>
            <w:pPr>
              <w:tabs>
                <w:tab w:val="left" w:pos="2100"/>
              </w:tabs>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□穴位放血疗法</w:t>
            </w:r>
          </w:p>
          <w:p>
            <w:pPr>
              <w:autoSpaceDE w:val="0"/>
              <w:autoSpaceDN w:val="0"/>
              <w:adjustRightInd w:val="0"/>
              <w:rPr>
                <w:rFonts w:ascii="仿宋_GB2312" w:hAnsi="仿宋_GB2312" w:eastAsia="仿宋_GB2312" w:cs="仿宋_GB2312"/>
                <w:color w:val="000000" w:themeColor="text1"/>
                <w:kern w:val="0"/>
                <w:position w:val="-2"/>
                <w:szCs w:val="21"/>
              </w:rPr>
            </w:pPr>
            <w:r>
              <w:rPr>
                <w:rFonts w:hint="eastAsia" w:ascii="仿宋_GB2312" w:hAnsi="仿宋_GB2312" w:eastAsia="仿宋_GB2312" w:cs="仿宋_GB2312"/>
                <w:color w:val="000000" w:themeColor="text1"/>
                <w:kern w:val="0"/>
                <w:position w:val="-2"/>
                <w:szCs w:val="21"/>
              </w:rPr>
              <w:t xml:space="preserve"> □其他疗法</w:t>
            </w:r>
          </w:p>
          <w:p>
            <w:pPr>
              <w:autoSpaceDE w:val="0"/>
              <w:autoSpaceDN w:val="0"/>
              <w:adjustRightInd w:val="0"/>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□完成病程记录</w:t>
            </w:r>
          </w:p>
          <w:p>
            <w:pPr>
              <w:ind w:left="210" w:hanging="210" w:hangingChars="100"/>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position w:val="-2"/>
                <w:szCs w:val="21"/>
              </w:rPr>
              <w:t>□制定随访计划</w:t>
            </w:r>
          </w:p>
          <w:p>
            <w:pPr>
              <w:autoSpaceDE w:val="0"/>
              <w:autoSpaceDN w:val="0"/>
              <w:rPr>
                <w:rFonts w:ascii="仿宋_GB2312" w:hAnsi="仿宋_GB2312" w:eastAsia="仿宋_GB2312" w:cs="仿宋_GB2312"/>
                <w:color w:val="000000" w:themeColor="text1"/>
                <w:szCs w:val="21"/>
                <w:lang w:val="zh-CN"/>
              </w:rPr>
            </w:pPr>
          </w:p>
        </w:tc>
      </w:tr>
      <w:tr>
        <w:tblPrEx>
          <w:tblCellMar>
            <w:top w:w="0" w:type="dxa"/>
            <w:left w:w="108" w:type="dxa"/>
            <w:bottom w:w="0" w:type="dxa"/>
            <w:right w:w="108" w:type="dxa"/>
          </w:tblCellMar>
        </w:tblPrEx>
        <w:trPr>
          <w:trHeight w:val="1729" w:hRule="atLeast"/>
          <w:jc w:val="center"/>
        </w:trPr>
        <w:tc>
          <w:tcPr>
            <w:tcW w:w="1267" w:type="dxa"/>
            <w:tcBorders>
              <w:top w:val="single" w:color="auto" w:sz="6" w:space="0"/>
              <w:left w:val="single" w:color="auto" w:sz="8" w:space="0"/>
              <w:bottom w:val="single" w:color="auto" w:sz="6" w:space="0"/>
              <w:right w:val="single" w:color="auto" w:sz="8"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病情</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变异</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记录</w:t>
            </w:r>
          </w:p>
        </w:tc>
        <w:tc>
          <w:tcPr>
            <w:tcW w:w="3466" w:type="dxa"/>
            <w:tcBorders>
              <w:top w:val="single" w:color="auto" w:sz="8" w:space="0"/>
              <w:left w:val="nil"/>
              <w:bottom w:val="nil"/>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c>
          <w:tcPr>
            <w:tcW w:w="4093" w:type="dxa"/>
            <w:tcBorders>
              <w:top w:val="single" w:color="auto" w:sz="8" w:space="0"/>
              <w:left w:val="nil"/>
              <w:bottom w:val="nil"/>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r>
      <w:tr>
        <w:tblPrEx>
          <w:tblCellMar>
            <w:top w:w="0" w:type="dxa"/>
            <w:left w:w="108" w:type="dxa"/>
            <w:bottom w:w="0" w:type="dxa"/>
            <w:right w:w="108" w:type="dxa"/>
          </w:tblCellMar>
        </w:tblPrEx>
        <w:trPr>
          <w:trHeight w:val="1399" w:hRule="atLeast"/>
          <w:jc w:val="center"/>
        </w:trPr>
        <w:tc>
          <w:tcPr>
            <w:tcW w:w="1267" w:type="dxa"/>
            <w:tcBorders>
              <w:top w:val="single" w:color="auto" w:sz="6" w:space="0"/>
              <w:left w:val="single" w:color="auto" w:sz="6" w:space="0"/>
              <w:bottom w:val="single" w:color="auto" w:sz="6" w:space="0"/>
              <w:right w:val="single" w:color="auto" w:sz="6" w:space="0"/>
            </w:tcBorders>
            <w:noWrap/>
            <w:vAlign w:val="center"/>
          </w:tcPr>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医师</w:t>
            </w:r>
          </w:p>
          <w:p>
            <w:pPr>
              <w:autoSpaceDE w:val="0"/>
              <w:autoSpaceDN w:val="0"/>
              <w:jc w:val="center"/>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kern w:val="0"/>
                <w:szCs w:val="21"/>
                <w:lang w:val="zh-CN"/>
              </w:rPr>
              <w:t>签名</w:t>
            </w:r>
          </w:p>
        </w:tc>
        <w:tc>
          <w:tcPr>
            <w:tcW w:w="3466" w:type="dxa"/>
            <w:tcBorders>
              <w:top w:val="single" w:color="auto" w:sz="8" w:space="0"/>
              <w:left w:val="single" w:color="auto" w:sz="6" w:space="0"/>
              <w:bottom w:val="single" w:color="auto" w:sz="4" w:space="0"/>
              <w:right w:val="single" w:color="000000" w:sz="8" w:space="0"/>
            </w:tcBorders>
            <w:noWrap/>
          </w:tcPr>
          <w:p>
            <w:pPr>
              <w:autoSpaceDE w:val="0"/>
              <w:autoSpaceDN w:val="0"/>
              <w:rPr>
                <w:rFonts w:ascii="仿宋_GB2312" w:hAnsi="仿宋_GB2312" w:eastAsia="仿宋_GB2312" w:cs="仿宋_GB2312"/>
                <w:color w:val="000000" w:themeColor="text1"/>
                <w:szCs w:val="21"/>
                <w:u w:val="single"/>
                <w:lang w:val="zh-CN"/>
              </w:rPr>
            </w:pPr>
          </w:p>
        </w:tc>
        <w:tc>
          <w:tcPr>
            <w:tcW w:w="4093" w:type="dxa"/>
            <w:tcBorders>
              <w:top w:val="single" w:color="auto" w:sz="8" w:space="0"/>
              <w:left w:val="nil"/>
              <w:bottom w:val="single" w:color="auto" w:sz="4" w:space="0"/>
              <w:right w:val="single" w:color="000000" w:sz="8" w:space="0"/>
            </w:tcBorders>
            <w:noWrap/>
          </w:tcPr>
          <w:p>
            <w:pPr>
              <w:autoSpaceDE w:val="0"/>
              <w:autoSpaceDN w:val="0"/>
              <w:rPr>
                <w:rFonts w:ascii="仿宋_GB2312" w:hAnsi="仿宋_GB2312" w:eastAsia="仿宋_GB2312" w:cs="仿宋_GB2312"/>
                <w:color w:val="000000" w:themeColor="text1"/>
                <w:szCs w:val="21"/>
                <w:lang w:val="zh-CN"/>
              </w:rPr>
            </w:pPr>
          </w:p>
        </w:tc>
      </w:tr>
    </w:tbl>
    <w:p>
      <w:pPr>
        <w:spacing w:line="500" w:lineRule="exact"/>
        <w:jc w:val="left"/>
        <w:rPr>
          <w:rFonts w:ascii="仿宋_GB2312" w:hAnsi="仿宋_GB2312" w:eastAsia="仿宋_GB2312" w:cs="仿宋_GB2312"/>
          <w:color w:val="000000" w:themeColor="text1"/>
          <w:sz w:val="28"/>
          <w:szCs w:val="28"/>
        </w:rPr>
        <w:sectPr>
          <w:pgSz w:w="11850" w:h="16840"/>
          <w:pgMar w:top="1134" w:right="1134" w:bottom="1134" w:left="1134" w:header="720" w:footer="720" w:gutter="0"/>
          <w:pgNumType w:fmt="numberInDash"/>
          <w:cols w:space="720" w:num="1"/>
        </w:sectPr>
      </w:pPr>
    </w:p>
    <w:p>
      <w:pPr>
        <w:spacing w:line="600" w:lineRule="exact"/>
        <w:rPr>
          <w:rFonts w:ascii="黑体" w:hAnsi="黑体" w:eastAsia="黑体" w:cs="方正小标宋简体"/>
          <w:color w:val="000000" w:themeColor="text1"/>
          <w:sz w:val="36"/>
          <w:szCs w:val="36"/>
        </w:rPr>
      </w:pPr>
      <w:r>
        <w:rPr>
          <w:rFonts w:hint="eastAsia" w:ascii="黑体" w:hAnsi="黑体" w:eastAsia="黑体" w:cs="方正小标宋简体"/>
          <w:color w:val="000000" w:themeColor="text1"/>
          <w:sz w:val="36"/>
          <w:szCs w:val="36"/>
        </w:rPr>
        <w:t>5.头痛（偏头痛）</w:t>
      </w:r>
    </w:p>
    <w:p>
      <w:pPr>
        <w:spacing w:line="600" w:lineRule="exact"/>
        <w:jc w:val="center"/>
        <w:rPr>
          <w:rFonts w:ascii="方正小标宋简体" w:hAnsi="方正小标宋简体" w:eastAsia="方正小标宋简体" w:cs="方正小标宋简体"/>
          <w:color w:val="000000" w:themeColor="text1"/>
          <w:sz w:val="36"/>
          <w:szCs w:val="36"/>
        </w:rPr>
      </w:pPr>
    </w:p>
    <w:p>
      <w:pPr>
        <w:spacing w:line="400" w:lineRule="exact"/>
        <w:jc w:val="center"/>
        <w:rPr>
          <w:rFonts w:ascii="仿宋_GB2312" w:hAnsi="方正小标宋简体" w:eastAsia="仿宋_GB2312" w:cs="方正小标宋简体"/>
          <w:b/>
          <w:color w:val="000000" w:themeColor="text1"/>
          <w:sz w:val="32"/>
          <w:szCs w:val="32"/>
        </w:rPr>
      </w:pPr>
      <w:r>
        <w:rPr>
          <w:rFonts w:hint="eastAsia" w:ascii="仿宋_GB2312" w:hAnsi="方正小标宋简体" w:eastAsia="仿宋_GB2312" w:cs="方正小标宋简体"/>
          <w:b/>
          <w:color w:val="000000" w:themeColor="text1"/>
          <w:sz w:val="32"/>
          <w:szCs w:val="32"/>
        </w:rPr>
        <w:t>一、临床路径标准治疗流程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路径说明：本路径适用于明确诊断为头痛（偏头痛）的住院患者。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一、头痛（偏头痛）中医临床路径标准住院流程 </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（一）适用对象</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中医诊断:第一诊断为头痛（TCD编码：BNG060）。</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西医诊断:第一诊断为偏头痛（ICD-10编码：G43）。</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（二）诊断依据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1.疾病诊断</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（一）疾病诊断</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1.中医诊断标准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按照《实用中医内科学》（王永炎、严世芸主编，上海科技出版社 2009年）。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（1）主要症状：头痛，或全头痛，或局部疼痛，性质可为剧痛、隐痛、胀痛、搏动痛等。急性起病，反复发作，发病前多有诱因，部分病人有先兆症状。</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（2）辅助检查：血常规、测血压，必要时进行颅脑CT、MRI、MRA检查、脑脊液、脑电图、经颅多普勒彩色超声（TCD），排除器质性疾病。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2.西医诊断标准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按照《国际头痛疾病分类》第二版（ICHD-Ⅱ）（HIS，2004年）。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（1）偏头痛不伴先兆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A.至少5次疾病发作符合标准B-D。</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B.每次疼痛持续4～72小时（未治疗或治疗无效）。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C.至少具有下列之中两个特征：①单侧性；②搏动性；③程度为中度或重度（日常活动受限或停止）；④因日常的体力活动加重，或导致无法进行日常运动（如走路或爬楼梯）。</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D.发作期间至少具有下列的一项：①恶心和/或呕吐；②畏光和怕声。</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E.不能归因于另一疾病。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（2）偏头痛伴典型先兆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A.至少2次疾病发作符合标准B～D。</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B.先兆包括以下症状至少一种，但没有运动机能减弱：①完全可逆的视觉症状，包括阳性的表现（如：点状色斑或线形闪光幻觉）和/或阴性的表现（如视野缺损）；②完全可逆的感觉症状，包括阳性的表现（如针刺感）和/或阴性的表现（如麻木）；完全可逆的言语困难性语言障碍。</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C.以下标准至少二项：①双侧视觉症状和/或单侧感觉症状；②至少一种先兆症状逐渐发展历时≥5分钟和/或不同的先兆症状相继出现历时≥5分钟；③每种症状持续≥5分钟且≤60分钟。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D.头痛符合无先兆偏头痛的标准B～D，开始时伴有先兆症状发生，或在先兆发生后60分钟以内出现。</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E.不能归因于另一疾病。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（3）偏头痛其他类型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（二）证候诊断</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1.肝阳上亢证：头痛而胀，或抽搐跳痛，上冲巅顶，面红耳赤，耳鸣，心烦易怒，口干口苦，或有胁痛，夜眠不宁，舌红，苔薄黄，脉沉弦有力。</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2.痰浊内阻证：头部跳痛伴有昏重感，胸脘满闷，呕恶痰涎，苔白腻，脉沉弦或沉滑。</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3.瘀血阻络证：头痛跳痛或如锥如刺，痛有定处，经久不愈，面色晦黯，舌紫或有瘀斑、瘀点，苔薄白，脉弦或涩。</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pacing w:val="6"/>
          <w:sz w:val="24"/>
        </w:rPr>
      </w:pPr>
      <w:r>
        <w:rPr>
          <w:rFonts w:hint="eastAsia" w:ascii="仿宋_GB2312" w:hAnsi="仿宋_GB2312" w:eastAsia="仿宋_GB2312" w:cs="仿宋_GB2312"/>
          <w:color w:val="000000" w:themeColor="text1"/>
          <w:sz w:val="24"/>
        </w:rPr>
        <w:t>4.气血两虚证：头痛而晕，遇劳则重，自汗，气短，畏风，神疲乏力，</w:t>
      </w:r>
      <w:r>
        <w:rPr>
          <w:rFonts w:hint="eastAsia" w:ascii="仿宋_GB2312" w:hAnsi="仿宋_GB2312" w:eastAsia="仿宋_GB2312" w:cs="仿宋_GB2312"/>
          <w:color w:val="000000" w:themeColor="text1"/>
          <w:spacing w:val="6"/>
          <w:sz w:val="24"/>
        </w:rPr>
        <w:t>面色晄白，舌淡红，苔薄白，脉沉细而弱。</w:t>
      </w:r>
    </w:p>
    <w:p>
      <w:pPr>
        <w:overflowPunct w:val="0"/>
        <w:autoSpaceDE w:val="0"/>
        <w:autoSpaceDN w:val="0"/>
        <w:spacing w:line="400" w:lineRule="exact"/>
        <w:ind w:firstLine="504" w:firstLineChars="200"/>
        <w:jc w:val="left"/>
        <w:rPr>
          <w:rFonts w:ascii="仿宋_GB2312" w:hAnsi="仿宋_GB2312" w:eastAsia="仿宋_GB2312" w:cs="仿宋_GB2312"/>
          <w:color w:val="000000" w:themeColor="text1"/>
          <w:spacing w:val="6"/>
          <w:sz w:val="24"/>
        </w:rPr>
      </w:pPr>
      <w:r>
        <w:rPr>
          <w:rFonts w:hint="eastAsia" w:ascii="仿宋_GB2312" w:hAnsi="仿宋_GB2312" w:eastAsia="仿宋_GB2312" w:cs="仿宋_GB2312"/>
          <w:color w:val="000000" w:themeColor="text1"/>
          <w:spacing w:val="6"/>
          <w:sz w:val="24"/>
        </w:rPr>
        <w:t>5.</w:t>
      </w:r>
      <w:r>
        <w:rPr>
          <w:rFonts w:hint="eastAsia" w:ascii="仿宋_GB2312" w:hAnsi="仿宋_GB2312" w:eastAsia="仿宋_GB2312" w:cs="仿宋_GB2312"/>
          <w:color w:val="000000" w:themeColor="text1"/>
          <w:sz w:val="24"/>
        </w:rPr>
        <w:t>肝肾亏虚证：头痛，颧红,潮热，盗汗，五心烦热，烦躁失眠，或遗精，舌红而干，少苔或无苔，脉</w:t>
      </w:r>
      <w:r>
        <w:rPr>
          <w:rFonts w:hint="eastAsia" w:ascii="仿宋_GB2312" w:hAnsi="仿宋_GB2312" w:eastAsia="仿宋_GB2312" w:cs="仿宋_GB2312"/>
          <w:color w:val="000000" w:themeColor="text1"/>
          <w:spacing w:val="6"/>
          <w:sz w:val="24"/>
        </w:rPr>
        <w:t>弦</w:t>
      </w:r>
      <w:r>
        <w:rPr>
          <w:rFonts w:hint="eastAsia" w:ascii="仿宋_GB2312" w:hAnsi="仿宋_GB2312" w:eastAsia="仿宋_GB2312" w:cs="仿宋_GB2312"/>
          <w:color w:val="000000" w:themeColor="text1"/>
          <w:sz w:val="24"/>
        </w:rPr>
        <w:t>细</w:t>
      </w:r>
      <w:r>
        <w:rPr>
          <w:rFonts w:hint="eastAsia" w:ascii="仿宋_GB2312" w:hAnsi="仿宋_GB2312" w:eastAsia="仿宋_GB2312" w:cs="仿宋_GB2312"/>
          <w:color w:val="000000" w:themeColor="text1"/>
          <w:spacing w:val="6"/>
          <w:sz w:val="24"/>
        </w:rPr>
        <w:t>或弦细数。</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（三）治疗方案的选择</w:t>
      </w:r>
    </w:p>
    <w:p>
      <w:pPr>
        <w:spacing w:line="400" w:lineRule="exact"/>
        <w:ind w:firstLine="464" w:firstLineChars="200"/>
        <w:rPr>
          <w:rFonts w:ascii="仿宋_GB2312" w:hAnsi="仿宋_GB2312" w:eastAsia="仿宋_GB2312" w:cs="仿宋_GB2312"/>
          <w:color w:val="000000" w:themeColor="text1"/>
          <w:spacing w:val="-4"/>
          <w:sz w:val="24"/>
        </w:rPr>
      </w:pPr>
      <w:r>
        <w:rPr>
          <w:rFonts w:hint="eastAsia" w:ascii="仿宋_GB2312" w:hAnsi="仿宋_GB2312" w:eastAsia="仿宋_GB2312" w:cs="仿宋_GB2312"/>
          <w:color w:val="000000" w:themeColor="text1"/>
          <w:spacing w:val="-4"/>
          <w:sz w:val="24"/>
        </w:rPr>
        <w:t>参考国家中医药管理局印发的“头痛（偏头痛）中医诊疗方案（2017版）”。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1.诊断明确，第一诊断为头痛（偏头痛）。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2.患者适合并接受中医治疗。</w:t>
      </w:r>
    </w:p>
    <w:p>
      <w:pPr>
        <w:spacing w:line="400" w:lineRule="exact"/>
        <w:ind w:firstLine="481"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b/>
          <w:color w:val="000000" w:themeColor="text1"/>
          <w:sz w:val="24"/>
        </w:rPr>
        <w:t>（四）标准住院日</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≤7天</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（五）进入路径标准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1.第一诊断必须符合</w:t>
      </w:r>
      <w:r>
        <w:rPr>
          <w:rFonts w:hint="eastAsia" w:ascii="仿宋_GB2312" w:hAnsi="仿宋_GB2312" w:eastAsia="仿宋_GB2312" w:cs="仿宋_GB2312"/>
          <w:color w:val="000000" w:themeColor="text1"/>
          <w:spacing w:val="-4"/>
          <w:sz w:val="24"/>
        </w:rPr>
        <w:t>头痛（偏头痛）</w:t>
      </w:r>
      <w:r>
        <w:rPr>
          <w:rFonts w:hint="eastAsia" w:ascii="仿宋_GB2312" w:hAnsi="仿宋_GB2312" w:eastAsia="仿宋_GB2312" w:cs="仿宋_GB2312"/>
          <w:color w:val="000000" w:themeColor="text1"/>
          <w:sz w:val="24"/>
        </w:rPr>
        <w:t>的患者。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2.患者为急性发作期。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3.当患者同时具有其他疾病，但在住院期间不需特殊处理，也不影响第一诊断的临床路径实施时，可以进入本路径。</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（六）中医证候学观察</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四诊合参，收集该病种不同证候的主症、次症、舌、脉特点。注意证候的动态变化。</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（七）入院检查项目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1.必需的检查项目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血常规、血沉、C反应蛋白、肝功能、肾功能、凝血功能检查、血糖、血脂、尿常规、便常规、心电图、胸部X线片。</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2.可选择的检查项目：根据病情需要而定，如颅脑CT、MRI、MRA检查、脑脊液、脑电图、经颅多普勒彩色超声（TCD）、血液流变学指标等。</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（八）治疗方法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（一）辨证论治</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1.肝阳上亢证</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治法：平肝潜阳，熄风止痛 </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（1）推荐方药：天麻钩藤饮加减。天麻、钩藤、生石决明、牛膝、益母草、山栀子、黄芩、茯神、夜交藤、桑寄生等。或具有同类功效的中成药（包括中药注射剂）。</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（2）针刺治疗</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选穴：风池、太阳、百会、太冲、太溪。</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操作：毫针刺，风池、太阳、百会用平补平泻，太冲、太溪行补法，每日1次，10次为1疗程。</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（3）中药泡洗技术</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根据患者证候特点选用平肝潜阳、熄风止痛类中药，煎煮后洗按足部，每日1～2次，每次20～30分钟（注意：水温宜小于42℃，泡足几分钟后再逐渐加水至踝关节以上，水温不宜过高，以免烫伤皮肤）。</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（4）饮食疗法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宜进食平肝养肝的食品，如：天麻、菊花、羊、鲍鱼、鳄鱼等，食疗方：天麻鱼头汤、鲜鲍鱼（带壳）瘦肉汤、菊花茶等。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2.痰浊内阻证</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治法：燥湿化痰，降逆止痛</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（1）推荐方药：半夏白术天麻汤加减。半夏、白术、天麻、陈皮、茯苓、甘草、生姜、大枣等。或具有同类功效的中成药（包括中药注射剂）。</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（2）针刺治疗</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选穴：风池、太阳、百会、率谷、头维、足三里、丰隆、阴陵泉。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操作：毫针刺，风池、太阳、百会、率谷、头维行平补平泻，足三里、丰隆、阴陵泉行泻法，每日1次，10次为1疗程。</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（3）中药泡洗技术</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根据患者证候特点选用燥湿化痰、降逆止痛类中药，煎煮后洗按足部，每日1～2次，每次20～30分钟，（注意：水温宜小于42℃，泡足几分钟后再逐渐加水至踝关节以上，水温不宜过高，以免烫伤皮肤）。</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（4）饮食疗法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宜进食健脾和胃、燥湿化痰的食品，如：茯苓、薏苡仁、山药、陈皮、杏仁等。食疗方：山药薏米粥、茯苓猪骨汤、陈皮排骨等。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3.瘀血阻络证</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治法：活血化瘀，行气止痛</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（1）推荐方药：桃红四物汤加减。桃仁、红花、川芎、生地、当归、白芍、羌活、独活、鸡血藤、白芷、细辛、防风、泽泻、薏苡仁等。或具有同类功效的中成药（包括中药注射剂）。</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（2）针刺治疗</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选穴：风池、太阳、百会、阿是穴、膈俞、血海、三阴交。</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操作：毫针刺，风池、太阳、百会、三阴交、膈俞用平补平泻，阿是穴、血海行泻法，每日1次，10次为1疗程。</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（3）中药泡洗技术</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根据患者证候特点选用活血化瘀、行气止痛类中药，煎煮后洗按足部，每日1～2次，每次20～30分钟，（注意：水温宜小于42℃，泡足几分钟后再逐渐加水至踝关节以上，水温不宜过高，以免烫伤皮肤）。</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（4）饮食疗法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 宜进食活血化瘀的食品，如：桃胶、当归、山楂、酒糟、栗子等，食疗方：桃胶红枣羹、山楂饼、当归红枣汤等。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4.气血两虚证</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治法：补气养血，缓急止痛</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（1）推荐方药：八珍汤加减。川芎、熟地、当归、白芍、白术、党参、茯苓、甘草、黄芪、鸡血藤等。或具有同类功效的中成药（包括中药注射剂）。</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（2）针刺治疗</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选穴：风池、太阳、百会、气海、血海、足三里。</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操作：毫针刺，风池、太阳、百会用平补平泻，气海、血海、足三里行补法，每日1次，10次为1疗程。</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（3）中药泡洗技术</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根据患者证候特点选用补气养血、缓急止痛类中药，煎煮后洗按足部，每日1～2次，每次20～30分钟，（注意：水温宜小于42℃，泡足几分钟后再逐渐加水至踝关节以上，水温不宜过高，以免烫伤皮肤）。 </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（4）饮食疗法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宜进食健脾益气养血的食品，如：阿胶、人参、比目鱼、苋菜、大枣等，食疗方：黄酒冰糖炖阿胶、人参鸽子汤、红枣蒸比目鱼等。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5.肝肾亏虚证</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治法：滋养肝肾，育阴潜阳</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（1）推荐方药：大补元煎加减。山药、杜仲、熟地、当归、山茱萸、枸杞、甘草、人参等。或具有同类功效的中成药（包括中药注射剂）。</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（2）针刺治疗</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选穴：太阳、百会、肾俞、肝俞、太冲、太溪。</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操作：毫针刺，太阳、百会用平补平泻，肾俞、肝俞、太冲、太溪行补法，每日1次，10次为1疗程。</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（3）中药泡洗技术</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根据患者证候特点选用滋养肝肾、育阴潜阳类中药，煎煮后洗按足部，每日1～2次，每次20～30分钟，（注意：水温宜小于42℃，泡足几分钟后再逐渐加水至踝关节以上，水温不宜过高，以免烫伤皮肤）。 </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（4）饮食疗法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 宜进食滋养肝肾的食品，如：鲈鱼、乌鸡、枸杞子、石斛、淡菜等，食疗方：石斛瘦肉汤、红枣枸杞乌鸡汤、淡菜山药汤等。</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（二）其他中医特色疗法</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以下中医医疗技术可用于多种证型。</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1.辨经取穴针刺法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十二经脉中，六阳经及足厥阴经循行于头的不同部位，故可将头痛分为阳明、少阳、太阳和厥阴头痛。</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（1）阳明头痛：疼痛部位在前额、眉棱、鼻根部。</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取穴：头维、印堂、阳白、合谷、内庭、阿是穴。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（2）少阳头痛：疼痛部位在侧头部。</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取穴：太阳、丝竹空、率谷、风池、外关、侠溪、阿是穴。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（3）太阳头痛：疼痛部位在后枕部，或下连于项。</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取穴：天柱、后顶、风池、后溪、昆仑、阿是穴。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（4）厥阴头痛：疼痛部位在巅顶部，或连于目系。</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取穴：百会、四神聪、太冲、阿是穴。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2.推拿治疗：一般头痛可开天门，推坎宫，按揉太阳穴，拿五经，拿风池穴，点按合谷穴。</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3.阿是穴邻点透刺加缠针震颤法（国家中医药管理局农村中医适宜技术推广项目）</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针具选择：0.3mm直径，长40mm的不锈钢毫针。</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操作方法：标出阿是穴，平刺进针，若痛点在颞部，从丝竹空向阿是穴透刺；若痛点在眉棱部，从攒竹横透至阿是穴；进针得气后，向右轻轻捻转针柄180～360度，使软组织轻轻缠绕针尖，然后行250～500次/分的震颤法1分钟，轻轻回转针柄180～360度，留针5分钟；如此反复操作5次后出针。出针时应注意按压针孔1分钟以防出血。</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4.热敏灸疗法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热敏灸是一种提高艾灸疗效的新型灸法。头痛患者的热敏穴位以头面部、背部及小腿外侧为高发区，如头部压痛点、风池、率谷、至阳、肝俞、阳陵泉等区域。每次选取上述2～3组穴位，每次治疗以灸至感传消失为度。 </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5</w:t>
      </w:r>
      <w:r>
        <w:rPr>
          <w:rFonts w:hint="eastAsia" w:ascii="仿宋_GB2312" w:hAnsi="仿宋_GB2312" w:eastAsia="仿宋_GB2312" w:cs="仿宋_GB2312"/>
          <w:color w:val="000000" w:themeColor="text1"/>
          <w:sz w:val="24"/>
        </w:rPr>
        <w:t>.塞鼻法</w:t>
      </w:r>
    </w:p>
    <w:p>
      <w:pPr>
        <w:spacing w:line="400" w:lineRule="exact"/>
        <w:ind w:firstLine="480" w:firstLineChars="200"/>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z w:val="24"/>
        </w:rPr>
        <w:t>塞鼻法是指</w:t>
      </w:r>
      <w:r>
        <w:rPr>
          <w:rFonts w:hint="eastAsia" w:ascii="仿宋_GB2312" w:hAnsi="仿宋_GB2312" w:eastAsia="仿宋_GB2312" w:cs="仿宋_GB2312"/>
          <w:color w:val="000000" w:themeColor="text1"/>
          <w:kern w:val="0"/>
          <w:sz w:val="24"/>
        </w:rPr>
        <w:t>选用活血、通络、止痛等中药研细末后，用布袋包少许药末塞鼻的一种中医外治法。左侧头痛塞右鼻孔，右侧头痛塞左鼻孔，发作时用。</w:t>
      </w:r>
      <w:r>
        <w:rPr>
          <w:rFonts w:hint="eastAsia" w:ascii="仿宋_GB2312" w:hAnsi="仿宋_GB2312" w:eastAsia="仿宋_GB2312" w:cs="仿宋_GB2312"/>
          <w:color w:val="000000" w:themeColor="text1"/>
          <w:sz w:val="24"/>
        </w:rPr>
        <w:t>如用川芎、白芷、制远志各50g，冰片7g，共为细末，和匀，用布袋包少许药末塞鼻。</w:t>
      </w:r>
      <w:r>
        <w:rPr>
          <w:rFonts w:hint="eastAsia" w:ascii="仿宋_GB2312" w:hAnsi="仿宋_GB2312" w:eastAsia="仿宋_GB2312" w:cs="仿宋_GB2312"/>
          <w:color w:val="000000" w:themeColor="text1"/>
          <w:kern w:val="0"/>
          <w:sz w:val="24"/>
        </w:rPr>
        <w:t>也可采用搐鼻法，将中药研末后，每次用少许药末吸入鼻内。</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6.中医诊疗设备</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光电治疗仪、</w:t>
      </w:r>
      <w:r>
        <w:rPr>
          <w:rFonts w:hint="eastAsia" w:ascii="仿宋_GB2312" w:hAnsi="仿宋_GB2312" w:eastAsia="仿宋_GB2312" w:cs="仿宋_GB2312"/>
          <w:color w:val="000000" w:themeColor="text1"/>
          <w:sz w:val="24"/>
        </w:rPr>
        <w:t>疼痛治疗仪可辅助止痛。</w:t>
      </w:r>
    </w:p>
    <w:p>
      <w:pPr>
        <w:overflowPunct w:val="0"/>
        <w:autoSpaceDE w:val="0"/>
        <w:autoSpaceDN w:val="0"/>
        <w:spacing w:line="400" w:lineRule="exact"/>
        <w:ind w:firstLine="480" w:firstLineChars="200"/>
        <w:jc w:val="lef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（三）西药治疗</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kern w:val="0"/>
          <w:sz w:val="24"/>
        </w:rPr>
        <w:t>如头痛发作24小时仍不能缓解，或者头痛程度中度以上，或者患者不能忍受时，可选择配合应用其他能缓解偏头痛发作的治疗方法，</w:t>
      </w:r>
      <w:r>
        <w:rPr>
          <w:rFonts w:hint="eastAsia" w:ascii="仿宋_GB2312" w:hAnsi="仿宋_GB2312" w:eastAsia="仿宋_GB2312" w:cs="仿宋_GB2312"/>
          <w:color w:val="000000" w:themeColor="text1"/>
          <w:sz w:val="24"/>
        </w:rPr>
        <w:t>以镇静、镇痛、调节血管舒缩功能为治疗原则，可选用止吐药、非甾体类药、曲坦类药等。</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病因，采取相应的治疗手段，积极除去诱因，如避免食用富含酪氨酸或亚硝酸盐的食物；停用血管扩张剂或口服避孕药等可能诱发头痛发作的药物；注意心理疏导，避免紧张、焦虑、疲劳等诱发因素，可配合选用音乐疗法、心理疗法等。6.护理调摄要点、</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（九）出院标准</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1.头痛缓解，伴随症状消失。</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2.头痛程度减轻一个等级以上。</w:t>
      </w:r>
    </w:p>
    <w:p>
      <w:pPr>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（十）变异及原因分析</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1.若出现辅助检查异常，需要明确异常原因，可导致住院治疗时间延长和住院费用增加。</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2.既往合并其他系统疾病，治疗期间病情加重，需要特殊处理，退出本路径。</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3.治疗过程中发生了病情变化，出现严重并发症，退出本路径。</w:t>
      </w:r>
    </w:p>
    <w:p>
      <w:pPr>
        <w:spacing w:line="400" w:lineRule="exact"/>
        <w:ind w:firstLine="480" w:firstLineChars="200"/>
        <w:rPr>
          <w:rFonts w:ascii="仿宋_GB2312" w:hAnsi="方正小标宋简体" w:eastAsia="仿宋_GB2312" w:cs="方正小标宋简体"/>
          <w:color w:val="000000" w:themeColor="text1"/>
          <w:sz w:val="24"/>
        </w:rPr>
        <w:sectPr>
          <w:pgSz w:w="11850" w:h="16838"/>
          <w:pgMar w:top="1984" w:right="1587" w:bottom="1984" w:left="1587" w:header="851" w:footer="992" w:gutter="0"/>
          <w:pgNumType w:fmt="numberInDash"/>
          <w:cols w:space="720" w:num="1"/>
          <w:docGrid w:type="lines" w:linePitch="312" w:charSpace="0"/>
        </w:sectPr>
      </w:pPr>
      <w:r>
        <w:rPr>
          <w:rFonts w:hint="eastAsia" w:ascii="仿宋_GB2312" w:hAnsi="仿宋_GB2312" w:eastAsia="仿宋_GB2312" w:cs="仿宋_GB2312"/>
          <w:color w:val="000000" w:themeColor="text1"/>
          <w:sz w:val="24"/>
        </w:rPr>
        <w:t>4.因患者及其家属意愿而影响本路径的执行，退出本路径。</w:t>
      </w:r>
    </w:p>
    <w:p>
      <w:pPr>
        <w:spacing w:line="600" w:lineRule="exact"/>
        <w:jc w:val="center"/>
        <w:rPr>
          <w:rFonts w:ascii="仿宋_GB2312" w:hAnsi="方正小标宋简体" w:eastAsia="仿宋_GB2312" w:cs="方正小标宋简体"/>
          <w:b/>
          <w:color w:val="000000" w:themeColor="text1"/>
          <w:sz w:val="32"/>
          <w:szCs w:val="32"/>
        </w:rPr>
      </w:pPr>
      <w:r>
        <w:rPr>
          <w:rFonts w:hint="eastAsia" w:ascii="仿宋_GB2312" w:hAnsi="方正小标宋简体" w:eastAsia="仿宋_GB2312" w:cs="方正小标宋简体"/>
          <w:b/>
          <w:color w:val="000000" w:themeColor="text1"/>
          <w:sz w:val="32"/>
          <w:szCs w:val="32"/>
        </w:rPr>
        <w:t>二、头痛（偏头痛）日间病床临床路径表单</w:t>
      </w:r>
    </w:p>
    <w:p>
      <w:pPr>
        <w:spacing w:line="400" w:lineRule="exac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适用对象:第一诊断为头痛（TCD编码：BNG060）和偏头痛（ICD-10编码：G43）</w:t>
      </w:r>
    </w:p>
    <w:p>
      <w:pPr>
        <w:spacing w:line="400" w:lineRule="exac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疾病分期为发作期</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标准住院日：≤7天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4687"/>
        <w:gridCol w:w="5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时间</w:t>
            </w:r>
          </w:p>
        </w:tc>
        <w:tc>
          <w:tcPr>
            <w:tcW w:w="4687"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bCs/>
                <w:color w:val="000000" w:themeColor="text1"/>
                <w:szCs w:val="21"/>
              </w:rPr>
            </w:pPr>
            <w:r>
              <w:rPr>
                <w:rFonts w:hint="eastAsia" w:ascii="仿宋_GB2312" w:hAnsi="Times New Roman" w:eastAsia="仿宋_GB2312" w:cs="Times New Roman"/>
                <w:color w:val="000000" w:themeColor="text1"/>
                <w:szCs w:val="21"/>
              </w:rPr>
              <w:t>（第1天）</w:t>
            </w:r>
          </w:p>
        </w:tc>
        <w:tc>
          <w:tcPr>
            <w:tcW w:w="5061"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bCs/>
                <w:color w:val="000000" w:themeColor="text1"/>
                <w:szCs w:val="21"/>
              </w:rPr>
            </w:pPr>
            <w:r>
              <w:rPr>
                <w:rFonts w:hint="eastAsia" w:ascii="仿宋_GB2312" w:hAnsi="Times New Roman" w:eastAsia="仿宋_GB2312" w:cs="Times New Roman"/>
                <w:color w:val="000000" w:themeColor="text1"/>
                <w:szCs w:val="21"/>
              </w:rPr>
              <w:t>（第2-3天）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7" w:hRule="atLeas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主要</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诊疗</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工作</w:t>
            </w:r>
          </w:p>
        </w:tc>
        <w:tc>
          <w:tcPr>
            <w:tcW w:w="4687" w:type="dxa"/>
            <w:noWrap/>
          </w:tcPr>
          <w:p>
            <w:pPr>
              <w:contextualSpacing/>
              <w:jc w:val="left"/>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w:t>
            </w:r>
            <w:r>
              <w:rPr>
                <w:rFonts w:hint="eastAsia" w:ascii="仿宋_GB2312" w:hAnsi="仿宋_GB2312" w:eastAsia="仿宋_GB2312" w:cs="仿宋_GB2312"/>
                <w:color w:val="000000" w:themeColor="text1"/>
                <w:szCs w:val="21"/>
              </w:rPr>
              <w:t>询问病史与体格检查</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□进行疼痛程度评估</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□采集中医四诊信息</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□进行中医证候判断</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□完成病历书写和病程记录</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□初步拟定诊疗方案</w:t>
            </w:r>
          </w:p>
          <w:p>
            <w:pPr>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□完善辅助检查</w:t>
            </w:r>
          </w:p>
          <w:p>
            <w:pPr>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□密切观察、防治并发症，必要时监护</w:t>
            </w:r>
          </w:p>
          <w:p>
            <w:pPr>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□与家属沟通，交代病情及注意事项</w:t>
            </w:r>
          </w:p>
        </w:tc>
        <w:tc>
          <w:tcPr>
            <w:tcW w:w="5061" w:type="dxa"/>
            <w:noWrap/>
          </w:tcPr>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□采集中医四诊信息</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□进行中医证候判断</w:t>
            </w:r>
          </w:p>
          <w:p>
            <w:pPr>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□防治并发症</w:t>
            </w:r>
          </w:p>
          <w:p>
            <w:pPr>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□完成病程记录</w:t>
            </w:r>
          </w:p>
          <w:p>
            <w:pPr>
              <w:ind w:left="420" w:hanging="420" w:hangingChars="200"/>
              <w:contextualSpacing/>
              <w:jc w:val="left"/>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□上级医师查房</w:t>
            </w:r>
          </w:p>
          <w:p>
            <w:pPr>
              <w:contextualSpacing/>
              <w:jc w:val="left"/>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□完善入院检查</w:t>
            </w:r>
          </w:p>
          <w:p>
            <w:pPr>
              <w:contextualSpacing/>
              <w:jc w:val="left"/>
              <w:rPr>
                <w:rFonts w:ascii="仿宋_GB2312" w:hAnsi="仿宋_GB2312" w:eastAsia="仿宋_GB2312" w:cs="仿宋_GB2312"/>
                <w:bCs/>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重点</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医嘱</w:t>
            </w:r>
          </w:p>
        </w:tc>
        <w:tc>
          <w:tcPr>
            <w:tcW w:w="4687"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□分级护理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□普食</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□中医辨证</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□口服中药汤剂</w:t>
            </w:r>
          </w:p>
          <w:p>
            <w:pPr>
              <w:pStyle w:val="3"/>
              <w:spacing w:after="0"/>
              <w:ind w:left="0" w:leftChars="0"/>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w:t>
            </w:r>
            <w:r>
              <w:rPr>
                <w:rFonts w:hint="eastAsia" w:ascii="仿宋_GB2312" w:hAnsi="仿宋_GB2312" w:eastAsia="仿宋_GB2312" w:cs="仿宋_GB2312"/>
                <w:color w:val="000000" w:themeColor="text1"/>
                <w:szCs w:val="21"/>
              </w:rPr>
              <w:t>静点</w:t>
            </w:r>
            <w:r>
              <w:rPr>
                <w:rFonts w:hint="eastAsia" w:ascii="仿宋_GB2312" w:hAnsi="仿宋_GB2312" w:eastAsia="仿宋_GB2312" w:cs="仿宋_GB2312"/>
                <w:bCs/>
                <w:color w:val="000000" w:themeColor="text1"/>
                <w:szCs w:val="21"/>
              </w:rPr>
              <w:t>中药注射液</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□口服中成药</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□其他中医特色治疗（□针刺治疗□中药泡洗技术 □推拿疗法 ）</w:t>
            </w:r>
          </w:p>
          <w:p>
            <w:pPr>
              <w:pStyle w:val="3"/>
              <w:spacing w:after="0"/>
              <w:ind w:left="0" w:leftChars="0"/>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□饮食疗法</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□西药治疗</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 xml:space="preserve">  □非甾体类药</w:t>
            </w:r>
          </w:p>
          <w:p>
            <w:pPr>
              <w:ind w:firstLine="210" w:firstLineChars="1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□曲坦类药</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□完善入院检查</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□血常规□尿常规□便常规</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□肝功能□肾功能□血脂</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□血糖□电解质□凝血检查</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□心电图</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□胸部X线片</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□TCD（必要时选择加做颅外段）</w:t>
            </w:r>
          </w:p>
        </w:tc>
        <w:tc>
          <w:tcPr>
            <w:tcW w:w="5061"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□分级护理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□普食</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□中医辨证</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□口服中药汤剂</w:t>
            </w:r>
          </w:p>
          <w:p>
            <w:pPr>
              <w:pStyle w:val="3"/>
              <w:spacing w:after="0"/>
              <w:ind w:left="0" w:leftChars="0"/>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□静点中药注射液</w:t>
            </w:r>
          </w:p>
          <w:p>
            <w:pPr>
              <w:pStyle w:val="3"/>
              <w:spacing w:after="0"/>
              <w:ind w:left="0" w:leftChars="0"/>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□口服中成药</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□其他中医特色治疗（□针刺治疗□中药泡洗技术 □推拿疗法 ）</w:t>
            </w:r>
          </w:p>
          <w:p>
            <w:pPr>
              <w:pStyle w:val="3"/>
              <w:spacing w:after="0"/>
              <w:ind w:left="0" w:leftChars="0"/>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□饮食疗法</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□西药治疗</w:t>
            </w:r>
          </w:p>
          <w:p>
            <w:pPr>
              <w:ind w:firstLine="210" w:firstLineChars="1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□非甾体类药</w:t>
            </w:r>
          </w:p>
          <w:p>
            <w:pPr>
              <w:ind w:firstLine="508" w:firstLineChars="242"/>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□原剂量 □剂量减少 □剂量增加</w:t>
            </w:r>
          </w:p>
          <w:p>
            <w:pPr>
              <w:ind w:firstLine="210" w:firstLineChars="1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□曲坦类药</w:t>
            </w:r>
          </w:p>
          <w:p>
            <w:pPr>
              <w:ind w:firstLine="420" w:firstLineChars="2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□原剂量 □剂量减少□剂量增加</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□继续完善入院检查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主要</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护理</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工作</w:t>
            </w:r>
          </w:p>
        </w:tc>
        <w:tc>
          <w:tcPr>
            <w:tcW w:w="4687"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□护理常规</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□完成护理记录</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□分级护理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□观察并记录病情变化及救治过程</w:t>
            </w:r>
          </w:p>
          <w:p>
            <w:pPr>
              <w:contextualSpacing/>
              <w:rPr>
                <w:rFonts w:ascii="仿宋_GB2312" w:hAnsi="仿宋_GB2312" w:eastAsia="仿宋_GB2312" w:cs="仿宋_GB2312"/>
                <w:color w:val="000000" w:themeColor="text1"/>
                <w:szCs w:val="21"/>
                <w:u w:val="single"/>
              </w:rPr>
            </w:pPr>
            <w:r>
              <w:rPr>
                <w:rFonts w:hint="eastAsia" w:ascii="仿宋_GB2312" w:hAnsi="仿宋_GB2312" w:eastAsia="仿宋_GB2312" w:cs="仿宋_GB2312"/>
                <w:bCs/>
                <w:color w:val="000000" w:themeColor="text1"/>
                <w:szCs w:val="21"/>
              </w:rPr>
              <w:t>□静脉抽血</w:t>
            </w:r>
          </w:p>
        </w:tc>
        <w:tc>
          <w:tcPr>
            <w:tcW w:w="5061" w:type="dxa"/>
            <w:noWrap/>
          </w:tcPr>
          <w:p>
            <w:pPr>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□完成辨证施护</w:t>
            </w:r>
          </w:p>
          <w:p>
            <w:pPr>
              <w:contextualSpacing/>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□心理护理</w:t>
            </w:r>
          </w:p>
          <w:p>
            <w:pPr>
              <w:contextualSpacing/>
              <w:rPr>
                <w:rFonts w:ascii="仿宋_GB2312" w:hAnsi="仿宋_GB2312" w:eastAsia="仿宋_GB2312" w:cs="仿宋_GB2312"/>
                <w:color w:val="000000" w:themeColor="text1"/>
                <w:szCs w:val="21"/>
                <w:u w:val="single"/>
              </w:rPr>
            </w:pPr>
            <w:r>
              <w:rPr>
                <w:rFonts w:hint="eastAsia" w:ascii="仿宋_GB2312" w:hAnsi="仿宋_GB2312" w:eastAsia="仿宋_GB2312" w:cs="仿宋_GB2312"/>
                <w:color w:val="000000" w:themeColor="text1"/>
                <w:szCs w:val="21"/>
              </w:rPr>
              <w:t>□生活护理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□饮食指导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7" w:hRule="atLeas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病情</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变异</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记录</w:t>
            </w:r>
          </w:p>
        </w:tc>
        <w:tc>
          <w:tcPr>
            <w:tcW w:w="4687" w:type="dxa"/>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widowControl/>
              <w:contextualSpacing/>
              <w:rPr>
                <w:rFonts w:ascii="仿宋_GB2312" w:hAnsi="仿宋_GB2312" w:eastAsia="仿宋_GB2312" w:cs="仿宋_GB2312"/>
                <w:color w:val="000000" w:themeColor="text1"/>
                <w:kern w:val="0"/>
                <w:szCs w:val="21"/>
              </w:rPr>
            </w:pPr>
            <w:r>
              <w:rPr>
                <w:rFonts w:hint="eastAsia" w:ascii="仿宋_GB2312" w:hAnsi="宋体" w:eastAsia="仿宋_GB2312" w:cs="宋体"/>
                <w:color w:val="000000" w:themeColor="text1"/>
                <w:spacing w:val="1"/>
                <w:kern w:val="0"/>
                <w:position w:val="-2"/>
                <w:szCs w:val="21"/>
              </w:rPr>
              <w:t>2.</w:t>
            </w:r>
          </w:p>
        </w:tc>
        <w:tc>
          <w:tcPr>
            <w:tcW w:w="5061" w:type="dxa"/>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widowControl/>
              <w:contextualSpacing/>
              <w:rPr>
                <w:rFonts w:ascii="仿宋_GB2312" w:hAnsi="仿宋_GB2312" w:eastAsia="仿宋_GB2312" w:cs="仿宋_GB2312"/>
                <w:color w:val="000000" w:themeColor="text1"/>
                <w:kern w:val="0"/>
                <w:szCs w:val="21"/>
              </w:rPr>
            </w:pPr>
            <w:r>
              <w:rPr>
                <w:rFonts w:hint="eastAsia" w:ascii="仿宋_GB2312" w:hAnsi="宋体" w:eastAsia="仿宋_GB2312" w:cs="宋体"/>
                <w:color w:val="000000" w:themeColor="text1"/>
                <w:spacing w:val="1"/>
                <w:kern w:val="0"/>
                <w:position w:val="-2"/>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9" w:hRule="atLeas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责任</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护士</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4687" w:type="dxa"/>
            <w:noWrap/>
          </w:tcPr>
          <w:p>
            <w:pPr>
              <w:widowControl/>
              <w:contextualSpacing/>
              <w:rPr>
                <w:rFonts w:ascii="仿宋_GB2312" w:hAnsi="仿宋_GB2312" w:eastAsia="仿宋_GB2312" w:cs="仿宋_GB2312"/>
                <w:color w:val="000000" w:themeColor="text1"/>
                <w:kern w:val="0"/>
                <w:szCs w:val="21"/>
              </w:rPr>
            </w:pPr>
          </w:p>
        </w:tc>
        <w:tc>
          <w:tcPr>
            <w:tcW w:w="5061" w:type="dxa"/>
            <w:noWrap/>
          </w:tcPr>
          <w:p>
            <w:pPr>
              <w:contextualSpacing/>
              <w:rPr>
                <w:rFonts w:ascii="仿宋_GB2312" w:hAnsi="仿宋_GB2312" w:eastAsia="仿宋_GB2312" w:cs="仿宋_GB2312"/>
                <w:color w:val="000000" w:themeColor="text1"/>
                <w:kern w:val="0"/>
                <w:szCs w:val="21"/>
              </w:rPr>
            </w:pPr>
          </w:p>
          <w:p>
            <w:pPr>
              <w:contextualSpacing/>
              <w:rPr>
                <w:rFonts w:ascii="仿宋_GB2312" w:hAnsi="仿宋_GB2312" w:eastAsia="仿宋_GB2312" w:cs="仿宋_GB2312"/>
                <w:color w:val="000000" w:themeColor="text1"/>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0" w:hRule="atLeast"/>
          <w:jc w:val="center"/>
        </w:trPr>
        <w:tc>
          <w:tcPr>
            <w:tcW w:w="1024"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医师</w:t>
            </w:r>
          </w:p>
          <w:p>
            <w:pPr>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4687" w:type="dxa"/>
            <w:noWrap/>
          </w:tcPr>
          <w:p>
            <w:pPr>
              <w:widowControl/>
              <w:contextualSpacing/>
              <w:rPr>
                <w:rFonts w:ascii="仿宋_GB2312" w:hAnsi="仿宋_GB2312" w:eastAsia="仿宋_GB2312" w:cs="仿宋_GB2312"/>
                <w:color w:val="000000" w:themeColor="text1"/>
                <w:kern w:val="0"/>
                <w:szCs w:val="21"/>
              </w:rPr>
            </w:pPr>
          </w:p>
          <w:p>
            <w:pPr>
              <w:widowControl/>
              <w:contextualSpacing/>
              <w:rPr>
                <w:rFonts w:ascii="仿宋_GB2312" w:hAnsi="仿宋_GB2312" w:eastAsia="仿宋_GB2312" w:cs="仿宋_GB2312"/>
                <w:color w:val="000000" w:themeColor="text1"/>
                <w:kern w:val="0"/>
                <w:szCs w:val="21"/>
              </w:rPr>
            </w:pPr>
          </w:p>
        </w:tc>
        <w:tc>
          <w:tcPr>
            <w:tcW w:w="5061" w:type="dxa"/>
            <w:noWrap/>
          </w:tcPr>
          <w:p>
            <w:pPr>
              <w:widowControl/>
              <w:contextualSpacing/>
              <w:rPr>
                <w:rFonts w:ascii="仿宋_GB2312" w:hAnsi="仿宋_GB2312" w:eastAsia="仿宋_GB2312" w:cs="仿宋_GB2312"/>
                <w:color w:val="000000" w:themeColor="text1"/>
                <w:kern w:val="0"/>
                <w:szCs w:val="21"/>
              </w:rPr>
            </w:pPr>
          </w:p>
          <w:p>
            <w:pPr>
              <w:widowControl/>
              <w:contextualSpacing/>
              <w:rPr>
                <w:rFonts w:ascii="仿宋_GB2312" w:hAnsi="仿宋_GB2312" w:eastAsia="仿宋_GB2312" w:cs="仿宋_GB2312"/>
                <w:color w:val="000000" w:themeColor="text1"/>
                <w:kern w:val="0"/>
                <w:szCs w:val="21"/>
              </w:rPr>
            </w:pPr>
          </w:p>
        </w:tc>
      </w:tr>
    </w:tbl>
    <w:p>
      <w:pPr>
        <w:rPr>
          <w:rFonts w:ascii="仿宋_GB2312" w:eastAsia="仿宋_GB2312"/>
          <w:color w:val="000000" w:themeColor="text1"/>
          <w:szCs w:val="21"/>
        </w:rPr>
        <w:sectPr>
          <w:pgSz w:w="11850" w:h="16838"/>
          <w:pgMar w:top="1134" w:right="1134" w:bottom="1134" w:left="1134" w:header="851" w:footer="992" w:gutter="0"/>
          <w:pgNumType w:fmt="numberInDash"/>
          <w:cols w:space="720" w:num="1"/>
          <w:docGrid w:type="lines" w:linePitch="312" w:charSpace="0"/>
        </w:sectPr>
      </w:pPr>
    </w:p>
    <w:tbl>
      <w:tblPr>
        <w:tblStyle w:val="10"/>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4687"/>
        <w:gridCol w:w="5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时间</w:t>
            </w:r>
          </w:p>
        </w:tc>
        <w:tc>
          <w:tcPr>
            <w:tcW w:w="3711" w:type="dxa"/>
            <w:noWrap/>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bCs/>
                <w:color w:val="000000" w:themeColor="text1"/>
                <w:szCs w:val="21"/>
              </w:rPr>
            </w:pPr>
            <w:r>
              <w:rPr>
                <w:rFonts w:hint="eastAsia" w:ascii="仿宋_GB2312" w:hAnsi="Times New Roman" w:eastAsia="仿宋_GB2312" w:cs="Times New Roman"/>
                <w:color w:val="000000" w:themeColor="text1"/>
                <w:szCs w:val="21"/>
              </w:rPr>
              <w:t>（第4-6天）</w:t>
            </w:r>
          </w:p>
        </w:tc>
        <w:tc>
          <w:tcPr>
            <w:tcW w:w="4007" w:type="dxa"/>
            <w:noWrap/>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bCs/>
                <w:color w:val="000000" w:themeColor="text1"/>
                <w:szCs w:val="21"/>
              </w:rPr>
            </w:pPr>
            <w:r>
              <w:rPr>
                <w:rFonts w:hint="eastAsia" w:ascii="仿宋_GB2312" w:hAnsi="Times New Roman" w:eastAsia="仿宋_GB2312" w:cs="Times New Roman"/>
                <w:color w:val="000000" w:themeColor="text1"/>
                <w:szCs w:val="21"/>
              </w:rPr>
              <w:t>（出院日）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主要</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诊疗</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工作</w:t>
            </w:r>
          </w:p>
        </w:tc>
        <w:tc>
          <w:tcPr>
            <w:tcW w:w="3711"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□上级医师查房与诊疗评估，明确是否出院</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□完成上级医师查房记录</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□采集中医四诊信息</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□进行中医证候判断</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□进行健康宣教</w:t>
            </w:r>
          </w:p>
        </w:tc>
        <w:tc>
          <w:tcPr>
            <w:tcW w:w="4007"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□交代出院后注意事项和随访方案</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□完成出院小结</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□通知出院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7"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重点</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医嘱</w:t>
            </w:r>
          </w:p>
        </w:tc>
        <w:tc>
          <w:tcPr>
            <w:tcW w:w="3711"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□分级护理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□普食</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□中医辨证</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□口服中药汤剂</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□其他中医特色治疗（□针刺治疗□中药泡洗技术 □推拿疗法 ）</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□饮食疗法</w:t>
            </w:r>
          </w:p>
          <w:p>
            <w:pPr>
              <w:pStyle w:val="3"/>
              <w:spacing w:after="0"/>
              <w:ind w:left="0" w:leftChars="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□西药治疗</w:t>
            </w:r>
          </w:p>
          <w:p>
            <w:pPr>
              <w:ind w:firstLine="210" w:firstLineChars="1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□非甾体类药</w:t>
            </w:r>
          </w:p>
          <w:p>
            <w:pPr>
              <w:ind w:firstLine="420" w:firstLineChars="2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□原剂量□剂量减少□剂量增加</w:t>
            </w:r>
          </w:p>
          <w:p>
            <w:pPr>
              <w:ind w:firstLine="210" w:firstLineChars="1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□曲坦类药</w:t>
            </w:r>
          </w:p>
          <w:p>
            <w:pPr>
              <w:ind w:firstLine="420" w:firstLineChars="200"/>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□原剂量□剂量减少□剂量增加</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r>
              <w:rPr>
                <w:rFonts w:hint="eastAsia" w:ascii="仿宋_GB2312" w:hAnsi="仿宋_GB2312" w:eastAsia="仿宋_GB2312" w:cs="仿宋_GB2312"/>
                <w:bCs/>
                <w:color w:val="000000" w:themeColor="text1"/>
                <w:szCs w:val="21"/>
              </w:rPr>
              <w:tab/>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□复查异常检查的项目</w:t>
            </w:r>
          </w:p>
        </w:tc>
        <w:tc>
          <w:tcPr>
            <w:tcW w:w="4007"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□出院医嘱</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□出院带药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主要</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护理</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工作</w:t>
            </w:r>
          </w:p>
        </w:tc>
        <w:tc>
          <w:tcPr>
            <w:tcW w:w="3711"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□完成辨证施护</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□心理护理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□生活护理</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□配合健康宣教</w:t>
            </w:r>
          </w:p>
        </w:tc>
        <w:tc>
          <w:tcPr>
            <w:tcW w:w="4007" w:type="dxa"/>
            <w:noWrap/>
          </w:tcPr>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□协助患者办理出院手续</w:t>
            </w:r>
          </w:p>
          <w:p>
            <w:pPr>
              <w:contextualSpacing/>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□出院指导</w:t>
            </w:r>
          </w:p>
          <w:p>
            <w:pPr>
              <w:contextualSpacing/>
              <w:rPr>
                <w:rFonts w:ascii="仿宋_GB2312" w:hAnsi="仿宋_GB2312" w:eastAsia="仿宋_GB2312" w:cs="仿宋_GB2312"/>
                <w:bCs/>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病情</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变异</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记录</w:t>
            </w:r>
          </w:p>
        </w:tc>
        <w:tc>
          <w:tcPr>
            <w:tcW w:w="3711" w:type="dxa"/>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contextualSpacing/>
              <w:rPr>
                <w:rFonts w:ascii="仿宋_GB2312" w:hAnsi="仿宋_GB2312" w:eastAsia="仿宋_GB2312" w:cs="仿宋_GB2312"/>
                <w:bCs/>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4007" w:type="dxa"/>
            <w:noWrap/>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contextualSpacing/>
              <w:rPr>
                <w:rFonts w:ascii="仿宋_GB2312" w:hAnsi="仿宋_GB2312" w:eastAsia="仿宋_GB2312" w:cs="仿宋_GB2312"/>
                <w:bCs/>
                <w:color w:val="000000" w:themeColor="text1"/>
                <w:szCs w:val="21"/>
              </w:rPr>
            </w:pPr>
            <w:r>
              <w:rPr>
                <w:rFonts w:hint="eastAsia" w:ascii="仿宋_GB2312" w:hAnsi="宋体" w:eastAsia="仿宋_GB2312" w:cs="宋体"/>
                <w:color w:val="000000" w:themeColor="text1"/>
                <w:spacing w:val="1"/>
                <w:kern w:val="0"/>
                <w:position w:val="-2"/>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责任</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护士</w:t>
            </w:r>
          </w:p>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3711" w:type="dxa"/>
            <w:noWrap/>
          </w:tcPr>
          <w:p>
            <w:pPr>
              <w:contextualSpacing/>
              <w:rPr>
                <w:rFonts w:ascii="仿宋_GB2312" w:hAnsi="仿宋_GB2312" w:eastAsia="仿宋_GB2312" w:cs="仿宋_GB2312"/>
                <w:bCs/>
                <w:color w:val="000000" w:themeColor="text1"/>
                <w:szCs w:val="21"/>
              </w:rPr>
            </w:pPr>
          </w:p>
        </w:tc>
        <w:tc>
          <w:tcPr>
            <w:tcW w:w="4007" w:type="dxa"/>
            <w:noWrap/>
          </w:tcPr>
          <w:p>
            <w:pPr>
              <w:contextualSpacing/>
              <w:rPr>
                <w:rFonts w:ascii="仿宋_GB2312" w:hAnsi="仿宋_GB2312" w:eastAsia="仿宋_GB2312" w:cs="仿宋_GB2312"/>
                <w:bCs/>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810" w:type="dxa"/>
            <w:noWrap/>
            <w:vAlign w:val="center"/>
          </w:tcPr>
          <w:p>
            <w:pPr>
              <w:widowControl/>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医师</w:t>
            </w:r>
          </w:p>
          <w:p>
            <w:pPr>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3711" w:type="dxa"/>
            <w:noWrap/>
          </w:tcPr>
          <w:p>
            <w:pPr>
              <w:contextualSpacing/>
              <w:rPr>
                <w:rFonts w:ascii="仿宋_GB2312" w:hAnsi="仿宋_GB2312" w:eastAsia="仿宋_GB2312" w:cs="仿宋_GB2312"/>
                <w:bCs/>
                <w:color w:val="000000" w:themeColor="text1"/>
                <w:szCs w:val="21"/>
              </w:rPr>
            </w:pPr>
          </w:p>
        </w:tc>
        <w:tc>
          <w:tcPr>
            <w:tcW w:w="4007" w:type="dxa"/>
            <w:noWrap/>
          </w:tcPr>
          <w:p>
            <w:pPr>
              <w:widowControl/>
              <w:contextualSpacing/>
              <w:rPr>
                <w:rFonts w:ascii="仿宋_GB2312" w:hAnsi="仿宋_GB2312" w:eastAsia="仿宋_GB2312" w:cs="仿宋_GB2312"/>
                <w:bCs/>
                <w:color w:val="000000" w:themeColor="text1"/>
                <w:szCs w:val="21"/>
              </w:rPr>
            </w:pPr>
          </w:p>
        </w:tc>
      </w:tr>
    </w:tbl>
    <w:p>
      <w:pPr>
        <w:spacing w:line="500" w:lineRule="exact"/>
        <w:jc w:val="left"/>
        <w:rPr>
          <w:rFonts w:ascii="仿宋_GB2312" w:hAnsi="仿宋_GB2312" w:eastAsia="仿宋_GB2312" w:cs="仿宋_GB2312"/>
          <w:color w:val="000000" w:themeColor="text1"/>
          <w:sz w:val="28"/>
          <w:szCs w:val="28"/>
        </w:rPr>
        <w:sectPr>
          <w:footerReference r:id="rId11" w:type="default"/>
          <w:pgSz w:w="11850" w:h="16838"/>
          <w:pgMar w:top="1134" w:right="1134" w:bottom="1134" w:left="1134" w:header="851" w:footer="992" w:gutter="0"/>
          <w:pgNumType w:fmt="numberInDash"/>
          <w:cols w:space="720" w:num="1"/>
          <w:docGrid w:type="lines" w:linePitch="312" w:charSpace="0"/>
        </w:sectPr>
      </w:pPr>
    </w:p>
    <w:p>
      <w:pPr>
        <w:spacing w:line="600" w:lineRule="atLeast"/>
        <w:rPr>
          <w:rFonts w:ascii="仿宋_GB2312" w:hAnsi="仿宋_GB2312" w:eastAsia="仿宋_GB2312" w:cs="仿宋_GB2312"/>
          <w:bCs/>
          <w:color w:val="000000" w:themeColor="text1"/>
          <w:sz w:val="28"/>
          <w:szCs w:val="28"/>
        </w:rPr>
      </w:pPr>
      <w:r>
        <w:rPr>
          <w:rFonts w:hint="eastAsia" w:ascii="仿宋_GB2312" w:hAnsi="仿宋_GB2312" w:eastAsia="仿宋_GB2312" w:cs="仿宋_GB2312"/>
          <w:bCs/>
          <w:color w:val="000000" w:themeColor="text1"/>
          <w:sz w:val="28"/>
          <w:szCs w:val="28"/>
        </w:rPr>
        <w:t>附件7</w:t>
      </w:r>
    </w:p>
    <w:p>
      <w:pPr>
        <w:spacing w:line="600" w:lineRule="exact"/>
        <w:jc w:val="center"/>
        <w:rPr>
          <w:rFonts w:ascii="方正小标宋简体" w:hAnsi="方正小标宋简体" w:eastAsia="方正小标宋简体" w:cs="方正小标宋简体"/>
          <w:bCs/>
          <w:color w:val="000000" w:themeColor="text1"/>
          <w:sz w:val="44"/>
          <w:szCs w:val="44"/>
        </w:rPr>
      </w:pPr>
      <w:r>
        <w:rPr>
          <w:rFonts w:hint="eastAsia" w:ascii="方正小标宋简体" w:hAnsi="方正小标宋简体" w:eastAsia="方正小标宋简体" w:cs="方正小标宋简体"/>
          <w:bCs/>
          <w:color w:val="000000" w:themeColor="text1"/>
          <w:sz w:val="44"/>
          <w:szCs w:val="44"/>
        </w:rPr>
        <w:t>日间病床按病种付费病种</w:t>
      </w:r>
    </w:p>
    <w:p>
      <w:pPr>
        <w:spacing w:line="600" w:lineRule="exact"/>
        <w:jc w:val="center"/>
        <w:rPr>
          <w:rFonts w:ascii="方正小标宋简体" w:hAnsi="方正小标宋简体" w:eastAsia="方正小标宋简体" w:cs="方正小标宋简体"/>
          <w:bCs/>
          <w:color w:val="000000" w:themeColor="text1"/>
          <w:sz w:val="44"/>
          <w:szCs w:val="44"/>
        </w:rPr>
      </w:pPr>
      <w:r>
        <w:rPr>
          <w:rFonts w:hint="eastAsia" w:ascii="方正小标宋简体" w:hAnsi="方正小标宋简体" w:eastAsia="方正小标宋简体" w:cs="方正小标宋简体"/>
          <w:bCs/>
          <w:color w:val="000000" w:themeColor="text1"/>
          <w:sz w:val="44"/>
          <w:szCs w:val="44"/>
        </w:rPr>
        <w:t>临床路径表单（西医）</w:t>
      </w:r>
    </w:p>
    <w:p>
      <w:pPr>
        <w:spacing w:line="600" w:lineRule="atLeast"/>
        <w:rPr>
          <w:rFonts w:ascii="方正小标宋简体" w:hAnsi="方正小标宋简体" w:eastAsia="方正小标宋简体" w:cs="方正小标宋简体"/>
          <w:bCs/>
          <w:color w:val="000000" w:themeColor="text1"/>
          <w:sz w:val="36"/>
          <w:szCs w:val="36"/>
        </w:rPr>
      </w:pPr>
    </w:p>
    <w:p>
      <w:pPr>
        <w:spacing w:line="600" w:lineRule="atLeast"/>
        <w:rPr>
          <w:rFonts w:ascii="黑体" w:hAnsi="黑体" w:eastAsia="黑体" w:cs="方正小标宋简体"/>
          <w:bCs/>
          <w:color w:val="000000" w:themeColor="text1"/>
          <w:sz w:val="36"/>
          <w:szCs w:val="36"/>
        </w:rPr>
      </w:pPr>
      <w:r>
        <w:rPr>
          <w:rFonts w:hint="eastAsia" w:ascii="黑体" w:hAnsi="黑体" w:eastAsia="黑体" w:cs="方正小标宋简体"/>
          <w:bCs/>
          <w:color w:val="000000" w:themeColor="text1"/>
          <w:sz w:val="36"/>
          <w:szCs w:val="36"/>
        </w:rPr>
        <w:t>6.</w:t>
      </w:r>
      <w:r>
        <w:rPr>
          <w:rFonts w:hint="eastAsia" w:ascii="黑体" w:hAnsi="黑体" w:eastAsia="黑体" w:cs="方正小标宋简体"/>
          <w:bCs/>
          <w:color w:val="000000" w:themeColor="text1"/>
          <w:sz w:val="36"/>
          <w:szCs w:val="36"/>
          <w:lang w:val="en-GB"/>
        </w:rPr>
        <w:t>支气管肺炎</w:t>
      </w:r>
    </w:p>
    <w:p>
      <w:pPr>
        <w:spacing w:line="600" w:lineRule="atLeast"/>
        <w:jc w:val="center"/>
        <w:rPr>
          <w:rFonts w:ascii="黑体" w:hAnsi="黑体" w:eastAsia="黑体" w:cs="方正小标宋简体"/>
          <w:bCs/>
          <w:color w:val="000000" w:themeColor="text1"/>
          <w:sz w:val="36"/>
          <w:szCs w:val="36"/>
        </w:rPr>
      </w:pPr>
      <w:r>
        <w:rPr>
          <w:rFonts w:hint="eastAsia" w:ascii="仿宋_GB2312" w:hAnsi="方正小标宋简体" w:eastAsia="仿宋_GB2312" w:cs="方正小标宋简体"/>
          <w:b/>
          <w:bCs/>
          <w:color w:val="000000" w:themeColor="text1"/>
          <w:sz w:val="32"/>
          <w:szCs w:val="32"/>
        </w:rPr>
        <w:t>一、临床路径标准治疗流程</w:t>
      </w:r>
    </w:p>
    <w:p>
      <w:pPr>
        <w:adjustRightInd w:val="0"/>
        <w:snapToGrid w:val="0"/>
        <w:spacing w:line="400" w:lineRule="exact"/>
        <w:ind w:left="105" w:leftChars="50" w:right="105" w:rightChars="50"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lang w:val="en-GB"/>
        </w:rPr>
        <w:t>（一）适用对象</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第一诊断为支气管肺炎（ICD–10：J18.0</w:t>
      </w:r>
      <w:r>
        <w:rPr>
          <w:rFonts w:hint="eastAsia" w:ascii="仿宋_GB2312" w:hAnsi="仿宋_GB2312" w:eastAsia="仿宋_GB2312" w:cs="仿宋_GB2312"/>
          <w:color w:val="000000" w:themeColor="text1"/>
          <w:sz w:val="24"/>
        </w:rPr>
        <w:t>00</w:t>
      </w:r>
      <w:r>
        <w:rPr>
          <w:rFonts w:hint="eastAsia" w:ascii="仿宋_GB2312" w:hAnsi="仿宋_GB2312" w:eastAsia="仿宋_GB2312" w:cs="仿宋_GB2312"/>
          <w:color w:val="000000" w:themeColor="text1"/>
          <w:sz w:val="24"/>
          <w:lang w:val="en-GB"/>
        </w:rPr>
        <w:t>）。</w:t>
      </w:r>
    </w:p>
    <w:p>
      <w:pPr>
        <w:adjustRightInd w:val="0"/>
        <w:snapToGrid w:val="0"/>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（二）诊断依据</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根据《临床诊疗指南－小儿内科分册》（中华医学会编著，人民卫生出版社）。</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1.一般临床表现：起病或急或缓，常伴有发热，热型不定，新生儿或体弱儿亦可不发热。患儿常有烦躁不安、精神萎靡、食欲减退或呕吐、腹泻等症状。</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2.呼吸道症状与体征：咳嗽、气促，重症表现为鼻翼扇动、口周和指（趾）端发绀及三凹征。部分患儿两肺可闻及固定性细湿罗音。叩诊多正常，但当病灶融合累及部分或整个肺叶时，可出现肺实变体征。</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其他系统症状与体征：重症肺炎可出现呼吸困难、三凹征及紫绀，并伴发其他系统功能异常，如心率增快、烦躁不安、意识障碍、昏迷、惊厥、肠鸣音消失等临床表现时，警惕在支气管肺炎过程中发生心力衰竭、呼吸衰竭、DIC、中毒性脑病、胸腔并发症等情况。</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4.胸部X线：沿支气管分布的小斑片状肺实质浸润阴影，以两肺底部、中内带及心膈角较多，由于细支气管的阻塞，可发生局部肺不张或肺气肿。也可以表现为节段性和大叶性肺部实变或不张。</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5.实验室检查：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（1）外周血常规和CRP：细菌感染时，白细胞总数和中性粒细胞增多，CRP有不同程度升高；病毒性肺炎时，白细胞总数正常或减少，CRP正常或轻度升高。</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（2）呼吸道病原学检测：本病可由不同病原所致，需要进行常见的呼吸道病毒检测、支原体、衣原体、细菌培养和药敏试验。</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（三）治疗方案的选择</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根据《临床诊疗指南－小儿内科分册》（中华医学会编著，人民卫生出版社）。</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1.一般治疗：保持适当的室温（18－20℃）及湿度（55%）注意休息，保持呼吸道通畅。如患儿烦躁不安，可给适量镇静药物。供给充足水分，给热量丰富、易于消化的食物。</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2.支持疗法：病情较重、病程较久、体弱、营养不良者可考虑输血浆等支持疗法，提高机体抵抗力。</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3.抗生素治疗：合理选用敏感抗生素，选择最佳给药方案，及时、足量、必要时联合应用。</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4.对症治疗：高热者可用物理降温或药物降温；咳嗽者可用止咳祛痰剂；气喘者可用解痉平喘药；有低氧症状者吸氧；腹胀者可用肛管排气、胃肠减压；并发脓胸、脓气胸者进行胸腔抽气、抽脓、闭式引流。</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（四）标准住院日</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lang w:val="en-GB"/>
        </w:rPr>
        <w:t>10－14天</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（五）进入路径标准</w:t>
      </w:r>
    </w:p>
    <w:p>
      <w:pPr>
        <w:adjustRightInd w:val="0"/>
        <w:snapToGrid w:val="0"/>
        <w:spacing w:line="400" w:lineRule="exact"/>
        <w:ind w:left="105" w:leftChars="50" w:right="105" w:rightChars="50" w:firstLine="480" w:firstLineChars="200"/>
        <w:jc w:val="left"/>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1.第一诊断必须符合ICD-10：J18.0</w:t>
      </w:r>
      <w:r>
        <w:rPr>
          <w:rFonts w:hint="eastAsia" w:ascii="仿宋_GB2312" w:hAnsi="仿宋_GB2312" w:eastAsia="仿宋_GB2312" w:cs="仿宋_GB2312"/>
          <w:color w:val="000000" w:themeColor="text1"/>
          <w:sz w:val="24"/>
        </w:rPr>
        <w:t>00</w:t>
      </w:r>
      <w:r>
        <w:rPr>
          <w:rFonts w:hint="eastAsia" w:ascii="仿宋_GB2312" w:hAnsi="仿宋_GB2312" w:eastAsia="仿宋_GB2312" w:cs="仿宋_GB2312"/>
          <w:color w:val="000000" w:themeColor="text1"/>
          <w:sz w:val="24"/>
          <w:lang w:val="en-GB"/>
        </w:rPr>
        <w:t>支气管肺炎编码。</w:t>
      </w:r>
    </w:p>
    <w:p>
      <w:pPr>
        <w:adjustRightInd w:val="0"/>
        <w:snapToGrid w:val="0"/>
        <w:spacing w:line="400" w:lineRule="exact"/>
        <w:ind w:left="105" w:leftChars="50" w:right="105" w:rightChars="50" w:firstLine="480" w:firstLineChars="200"/>
        <w:jc w:val="left"/>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2.当患儿同时具有其他疾病诊断，但在住院期间不需要特殊处理也不影响第一诊断的临床路径流程实施时，可以进入路径。</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（六）入院后第1－2天</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1.必需的检查项目：</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（1）血常规、CRP、尿常规、粪常规；</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 xml:space="preserve">（2）胸片； </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（3）呼吸道病毒、细菌病原学检查；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（4）血支原体、衣原体测定；</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（5）血气分析；</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（6）心肌酶谱及肝肾功能；</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（7）心电图。</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2.必要的告知。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入选临床路径、加强拍背等护理、注意观察肺部症状变化。</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（七）入院后3－5天</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1.根据患者情况可选择的检查项目：</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（1）复查血常规、尿常规、粪常规;</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（2）血气分析检查;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（3）心电图检查;超声检查；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（4）各种呼吸道病原学复查;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（5）肺功能检查；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（6）肺CT；</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（7）支气管镜检查。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2.必要的告知：</w:t>
      </w:r>
    </w:p>
    <w:p>
      <w:pPr>
        <w:adjustRightInd w:val="0"/>
        <w:snapToGrid w:val="0"/>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在支气管肺炎过程中如出现心力衰竭、呼吸衰竭、DIC、中毒性脑病等临床表现，及时出支气管肺炎临床路径。</w:t>
      </w:r>
    </w:p>
    <w:p>
      <w:pPr>
        <w:tabs>
          <w:tab w:val="left" w:pos="420"/>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lang w:val="en-GB"/>
        </w:rPr>
        <w:t>（八）药物选择与使用时间</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抗菌药物：按照《抗菌药物临床应用指导原则》(卫医发〔2004〕285号)执行。</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（九）出院标准</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1.咳嗽明显减轻；</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2.连续3天腋温&lt;37.5℃；</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3.肺体征改善；</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 xml:space="preserve">  4.X线胸片示炎症明显吸收。</w:t>
      </w:r>
    </w:p>
    <w:p>
      <w:pPr>
        <w:tabs>
          <w:tab w:val="left" w:pos="630"/>
        </w:tabs>
        <w:spacing w:line="400" w:lineRule="exact"/>
        <w:ind w:left="105" w:leftChars="50" w:right="105" w:rightChars="50"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（十）变异及原因分析</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1.难治性肺炎：即对常规抗感染治疗不能控制疾病，包括以下几个方面：</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（1）体温不退、肺炎体征没有明显缓解，需要改用其他抗菌药物。</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（2）病情进行性加重，出现肺外并发症，需要加用其他治疗方案。</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（3）肺炎吸收不明显。</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（4）特殊病原体感染，如支原体、衣原体、巨细胞病毒感染等。</w:t>
      </w:r>
    </w:p>
    <w:p>
      <w:pPr>
        <w:tabs>
          <w:tab w:val="left" w:pos="630"/>
        </w:tabs>
        <w:spacing w:line="400" w:lineRule="exact"/>
        <w:ind w:left="105" w:leftChars="50" w:right="105" w:rightChars="50"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2.由于上述原因导致治疗费用和延长住院时间。</w:t>
      </w:r>
    </w:p>
    <w:p>
      <w:pPr>
        <w:tabs>
          <w:tab w:val="left" w:pos="630"/>
        </w:tabs>
        <w:spacing w:line="360" w:lineRule="auto"/>
        <w:ind w:firstLine="320" w:firstLineChars="100"/>
        <w:jc w:val="center"/>
        <w:rPr>
          <w:rFonts w:ascii="黑体" w:hAnsi="黑体" w:eastAsia="黑体"/>
          <w:color w:val="000000" w:themeColor="text1"/>
          <w:sz w:val="32"/>
          <w:szCs w:val="32"/>
        </w:rPr>
        <w:sectPr>
          <w:headerReference r:id="rId12" w:type="default"/>
          <w:footerReference r:id="rId13" w:type="default"/>
          <w:pgSz w:w="11850" w:h="16838"/>
          <w:pgMar w:top="1134" w:right="1134" w:bottom="1134" w:left="1134" w:header="851" w:footer="992" w:gutter="0"/>
          <w:pgNumType w:fmt="numberInDash"/>
          <w:cols w:space="425" w:num="1"/>
          <w:docGrid w:type="lines" w:linePitch="312" w:charSpace="0"/>
        </w:sectPr>
      </w:pPr>
    </w:p>
    <w:p>
      <w:pPr>
        <w:tabs>
          <w:tab w:val="left" w:pos="630"/>
        </w:tabs>
        <w:spacing w:line="360" w:lineRule="auto"/>
        <w:ind w:firstLine="321" w:firstLineChars="100"/>
        <w:jc w:val="center"/>
        <w:rPr>
          <w:rFonts w:ascii="仿宋_GB2312" w:hAnsi="方正小标宋简体" w:eastAsia="仿宋_GB2312" w:cs="方正小标宋简体"/>
          <w:b/>
          <w:color w:val="000000" w:themeColor="text1"/>
          <w:sz w:val="32"/>
          <w:szCs w:val="32"/>
        </w:rPr>
      </w:pPr>
      <w:r>
        <w:rPr>
          <w:rFonts w:hint="eastAsia" w:ascii="仿宋_GB2312" w:hAnsi="方正小标宋简体" w:eastAsia="仿宋_GB2312" w:cs="方正小标宋简体"/>
          <w:b/>
          <w:color w:val="000000" w:themeColor="text1"/>
          <w:sz w:val="32"/>
          <w:szCs w:val="32"/>
        </w:rPr>
        <w:t>二、支气管肺炎日间病床临床路径表单</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适用对象：第一诊断为支气管肺炎（ICD-10：J18.000）  </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标准住院日：10-14天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835"/>
        <w:gridCol w:w="2693"/>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时间</w:t>
            </w:r>
          </w:p>
        </w:tc>
        <w:tc>
          <w:tcPr>
            <w:tcW w:w="2835"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（第1天）</w:t>
            </w:r>
          </w:p>
        </w:tc>
        <w:tc>
          <w:tcPr>
            <w:tcW w:w="2693"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（第2天）</w:t>
            </w:r>
          </w:p>
        </w:tc>
        <w:tc>
          <w:tcPr>
            <w:tcW w:w="2835"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主要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诊疗</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工作</w:t>
            </w:r>
          </w:p>
        </w:tc>
        <w:tc>
          <w:tcPr>
            <w:tcW w:w="2835"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□询问病史及体格检查</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□病情告之</w:t>
            </w:r>
          </w:p>
          <w:p>
            <w:pPr>
              <w:ind w:left="210" w:hanging="210" w:hangingChars="1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□如患儿病情重，应及时通知上级医师</w:t>
            </w:r>
          </w:p>
        </w:tc>
        <w:tc>
          <w:tcPr>
            <w:tcW w:w="2693"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□询问病史及体格检查</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□进一步完善相关检查</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□上级医师查房</w:t>
            </w:r>
          </w:p>
          <w:p>
            <w:pPr>
              <w:rPr>
                <w:rFonts w:ascii="仿宋_GB2312" w:hAnsi="仿宋_GB2312" w:eastAsia="仿宋_GB2312" w:cs="仿宋_GB2312"/>
                <w:color w:val="000000" w:themeColor="text1"/>
                <w:szCs w:val="21"/>
              </w:rPr>
            </w:pPr>
          </w:p>
        </w:tc>
        <w:tc>
          <w:tcPr>
            <w:tcW w:w="2835" w:type="dxa"/>
          </w:tcPr>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□收集并追问各类实验室检查报告，向上级医师汇报重要实验室检查结果</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□完善三级医师查房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重要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医嘱</w:t>
            </w:r>
          </w:p>
        </w:tc>
        <w:tc>
          <w:tcPr>
            <w:tcW w:w="2835"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□儿科护理常规</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□I级护理</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□流质/半流/普食</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□心电监护、吸氧、吸痰（必要时）</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□头孢类（酌情选一种，必要时可两种联用，如过敏可改用大环内酯类）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□阿莫西林克拉维酸钾</w:t>
            </w:r>
          </w:p>
          <w:p>
            <w:pPr>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每次30mg/kg，每日3-4次</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□头孢替安50-150mg/kg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sym w:font="Wingdings 2" w:char="00A3"/>
            </w:r>
            <w:r>
              <w:rPr>
                <w:rFonts w:hint="eastAsia" w:ascii="仿宋_GB2312" w:hAnsi="仿宋_GB2312" w:eastAsia="仿宋_GB2312" w:cs="仿宋_GB2312"/>
                <w:color w:val="000000" w:themeColor="text1"/>
                <w:szCs w:val="21"/>
              </w:rPr>
              <w:t>头孢他定50-150mg/kg</w:t>
            </w:r>
          </w:p>
          <w:p>
            <w:pPr>
              <w:pStyle w:val="9"/>
              <w:spacing w:after="0"/>
              <w:ind w:left="0" w:leftChars="0" w:firstLine="0" w:firstLineChars="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□头孢噻肟50-150mg／kg</w:t>
            </w:r>
          </w:p>
          <w:p>
            <w:pPr>
              <w:pStyle w:val="9"/>
              <w:spacing w:after="0"/>
              <w:ind w:left="0" w:leftChars="0" w:firstLine="0" w:firstLineChars="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□头孢曲松50-150mg／kg</w:t>
            </w:r>
          </w:p>
          <w:p>
            <w:pPr>
              <w:pStyle w:val="9"/>
              <w:spacing w:after="0"/>
              <w:ind w:left="0" w:leftChars="0" w:firstLine="0" w:firstLineChars="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□阿奇霉素5-10mg/kg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□红霉素20-30mg/kg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□抗病毒治疗（无特效抗病毒）</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□氨溴索 7.5～30mg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□氧驱或压缩雾化吸入(可选用吸入激素加一种β受体激动剂)</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□布地奈德0.5-1mg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□沙丁胺醇0.2mg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□特布他林2.5-5mg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□口服止咳化痰药物</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□退热对症治疗</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必查项</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□血尿便常规 CRP</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□血支原体、衣原体测定</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□心肌酶谱及肝肾功能电角质血糖</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□心电图</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□胸片</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可选项</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□血脂分析</w:t>
            </w:r>
          </w:p>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□呼吸道病毒检测</w:t>
            </w:r>
          </w:p>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□痰培养、血培养</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□血气分析</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□胸部CT（酌情）</w:t>
            </w:r>
          </w:p>
        </w:tc>
        <w:tc>
          <w:tcPr>
            <w:tcW w:w="2693"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□儿科护理常规</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□I级护理</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□流质/半流/普食</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□心电监护、吸氧、吸痰（必要时）</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□头孢类（酌情选一种，必要时可两种联用，如过敏可改用大环内酯类）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□阿莫西林克拉维酸钾</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□头孢替安50-150mg/kg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□头孢他定50-150mg/kg</w:t>
            </w:r>
          </w:p>
          <w:p>
            <w:pPr>
              <w:pStyle w:val="9"/>
              <w:spacing w:after="0"/>
              <w:ind w:left="0" w:leftChars="0" w:firstLine="0" w:firstLineChars="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□头孢噻肟50-150mg/kg</w:t>
            </w:r>
          </w:p>
          <w:p>
            <w:pPr>
              <w:pStyle w:val="6"/>
              <w:rPr>
                <w:rFonts w:ascii="仿宋_GB2312" w:hAnsi="仿宋_GB2312" w:eastAsia="仿宋_GB2312" w:cs="仿宋_GB2312"/>
                <w:color w:val="000000" w:themeColor="text1"/>
                <w:szCs w:val="21"/>
                <w:lang w:eastAsia="zh-CN"/>
              </w:rPr>
            </w:pPr>
            <w:r>
              <w:rPr>
                <w:rFonts w:hint="eastAsia" w:ascii="仿宋_GB2312" w:hAnsi="仿宋_GB2312" w:eastAsia="仿宋_GB2312" w:cs="仿宋_GB2312"/>
                <w:color w:val="000000" w:themeColor="text1"/>
                <w:szCs w:val="21"/>
                <w:lang w:eastAsia="zh-CN"/>
              </w:rPr>
              <w:t>□头孢曲松50-150mg/kg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□阿奇霉素5-10mg/kg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□红霉素20-30mg/kg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□抗病毒治疗（无特效药）</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□氨溴索 7.5～30mg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□氧驱或压缩雾化吸入(可选用吸入激素加一种β受体激动剂)</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□布地奈德0.5-1mg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□沙丁胺醇0.2mg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□特布他林2.5-5mg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□口服止咳化痰药物</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□退热对症治疗</w:t>
            </w:r>
          </w:p>
          <w:p>
            <w:pPr>
              <w:rPr>
                <w:rFonts w:ascii="仿宋_GB2312" w:hAnsi="仿宋_GB2312" w:eastAsia="仿宋_GB2312" w:cs="仿宋_GB2312"/>
                <w:color w:val="000000" w:themeColor="text1"/>
                <w:szCs w:val="21"/>
              </w:rPr>
            </w:pPr>
            <w:r>
              <w:rPr>
                <w:rFonts w:hint="eastAsia" w:ascii="仿宋_GB2312" w:hAnsi="仿宋_GB2312" w:eastAsia="仿宋_GB2312" w:cs="仿宋_GB2312"/>
                <w:bCs/>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其他检查</w:t>
            </w:r>
          </w:p>
        </w:tc>
        <w:tc>
          <w:tcPr>
            <w:tcW w:w="2835"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□儿科护理常规</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□I级护理</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□流质/半流/普食</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□心电监护、吸氧、吸痰（必要时）</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□头孢类（酌情选一种，必要时可两种联用，如过敏可改用大环内酯类）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□阿莫西林克拉维酸钾</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□头孢替安50-150mg/kg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□头孢他定50-150mg/kg</w:t>
            </w:r>
          </w:p>
          <w:p>
            <w:pPr>
              <w:pStyle w:val="9"/>
              <w:spacing w:after="0"/>
              <w:ind w:left="0" w:leftChars="0" w:firstLine="0" w:firstLineChars="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□头孢噻肟50-150mg/kg</w:t>
            </w:r>
          </w:p>
          <w:p>
            <w:pPr>
              <w:pStyle w:val="6"/>
              <w:rPr>
                <w:rFonts w:ascii="仿宋_GB2312" w:hAnsi="仿宋_GB2312" w:eastAsia="仿宋_GB2312" w:cs="仿宋_GB2312"/>
                <w:color w:val="000000" w:themeColor="text1"/>
                <w:szCs w:val="21"/>
                <w:lang w:eastAsia="zh-CN"/>
              </w:rPr>
            </w:pPr>
            <w:r>
              <w:rPr>
                <w:rFonts w:hint="eastAsia" w:ascii="仿宋_GB2312" w:hAnsi="仿宋_GB2312" w:eastAsia="仿宋_GB2312" w:cs="仿宋_GB2312"/>
                <w:color w:val="000000" w:themeColor="text1"/>
                <w:szCs w:val="21"/>
                <w:lang w:eastAsia="zh-CN"/>
              </w:rPr>
              <w:t>□头孢曲松50-150mg/kg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□阿奇霉素5-10mg/kg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□红霉素20-30mg/kg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□抗病毒治疗（物特效药）</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□氨溴索 7.5～30mg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□氧驱或压缩雾化吸入(可选用吸入激素加一种β受体激动剂)</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□布地奈德0.5-1mg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□沙丁胺醇0.2mg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□特布他林2.5-5mg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□口服止咳化痰药物</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□退热对症治疗</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□心肌酶谱异常保护心肌治疗</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□肝功能异常保肝治疗</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其他检查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护理</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路径</w:t>
            </w:r>
          </w:p>
        </w:tc>
        <w:tc>
          <w:tcPr>
            <w:tcW w:w="2835"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□入院护理评估</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□入院宣教</w:t>
            </w:r>
          </w:p>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□叮嘱患儿卧床休息，定时测量体温</w:t>
            </w:r>
          </w:p>
        </w:tc>
        <w:tc>
          <w:tcPr>
            <w:tcW w:w="2693"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□观察生命体征及一般情况</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□观察咳嗽程度</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□保持呼吸道畅通，及时清除呼吸道分泌物</w:t>
            </w:r>
          </w:p>
          <w:p>
            <w:pPr>
              <w:rPr>
                <w:rFonts w:ascii="仿宋_GB2312" w:hAnsi="仿宋_GB2312" w:eastAsia="仿宋_GB2312" w:cs="仿宋_GB2312"/>
                <w:color w:val="000000" w:themeColor="text1"/>
                <w:szCs w:val="21"/>
                <w:u w:val="single"/>
              </w:rPr>
            </w:pPr>
            <w:r>
              <w:rPr>
                <w:rFonts w:hint="eastAsia" w:ascii="仿宋_GB2312" w:hAnsi="仿宋_GB2312" w:eastAsia="仿宋_GB2312" w:cs="仿宋_GB2312"/>
                <w:color w:val="000000" w:themeColor="text1"/>
                <w:szCs w:val="21"/>
              </w:rPr>
              <w:t>□协助患儿排痰</w:t>
            </w:r>
          </w:p>
        </w:tc>
        <w:tc>
          <w:tcPr>
            <w:tcW w:w="2835"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□观察生命体征及一般情况</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□保持皮肤清洁、口腔清洁</w:t>
            </w:r>
          </w:p>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□鼓励患儿少食多餐，多饮水，保证液体摄入量</w:t>
            </w:r>
          </w:p>
          <w:p>
            <w:pPr>
              <w:ind w:left="160" w:hanging="159" w:hangingChars="7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□观察咳嗽程度，及时翻身拍背，保持呼吸道通畅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主要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护理</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工作</w:t>
            </w:r>
          </w:p>
        </w:tc>
        <w:tc>
          <w:tcPr>
            <w:tcW w:w="283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□静脉置管护理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□医疗废物处置</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□床位费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□空调费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□腕带</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□皮试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□小儿静脉输液</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□换液体</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□静脉留置针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□一次性敷贴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□静脉采血</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□小儿雾化吸入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□监测体温，温水擦浴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□吸氧、吸痰、体位管理、拍背</w:t>
            </w:r>
          </w:p>
        </w:tc>
        <w:tc>
          <w:tcPr>
            <w:tcW w:w="2693"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□静脉置管护理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□静脉采血</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□床位费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□空调费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□小儿静脉输液</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□换液体</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□小儿雾化吸入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□一次性敷贴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□医疗废物处置</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□监测体温，温水擦浴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□吸氧、体位管理，拍背吸痰</w:t>
            </w:r>
          </w:p>
        </w:tc>
        <w:tc>
          <w:tcPr>
            <w:tcW w:w="283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□静脉置管护理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□床位费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□空调费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□小儿静脉输液</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□换液体</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□小儿雾化吸入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□静脉采血</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□一次性敷贴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□医疗废物处置</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□监测体温，温水擦浴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□吸氧、拍背吸痰</w:t>
            </w:r>
          </w:p>
          <w:p>
            <w:pP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病情</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变异</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记录</w:t>
            </w:r>
          </w:p>
        </w:tc>
        <w:tc>
          <w:tcPr>
            <w:tcW w:w="2835" w:type="dxa"/>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rPr>
                <w:rFonts w:ascii="仿宋_GB2312" w:hAnsi="仿宋_GB2312" w:eastAsia="仿宋_GB2312" w:cs="仿宋_GB2312"/>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2693" w:type="dxa"/>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rPr>
                <w:rFonts w:ascii="仿宋_GB2312" w:hAnsi="仿宋_GB2312" w:eastAsia="仿宋_GB2312" w:cs="仿宋_GB2312"/>
                <w:color w:val="000000" w:themeColor="text1"/>
                <w:szCs w:val="21"/>
              </w:rPr>
            </w:pPr>
            <w:r>
              <w:rPr>
                <w:rFonts w:hint="eastAsia" w:ascii="仿宋_GB2312" w:hAnsi="宋体" w:eastAsia="仿宋_GB2312" w:cs="宋体"/>
                <w:color w:val="000000" w:themeColor="text1"/>
                <w:spacing w:val="1"/>
                <w:kern w:val="0"/>
                <w:position w:val="-2"/>
                <w:szCs w:val="21"/>
              </w:rPr>
              <w:t>2.</w:t>
            </w:r>
          </w:p>
        </w:tc>
        <w:tc>
          <w:tcPr>
            <w:tcW w:w="2835" w:type="dxa"/>
          </w:tcPr>
          <w:p>
            <w:pPr>
              <w:tabs>
                <w:tab w:val="left" w:pos="720"/>
              </w:tabs>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kern w:val="0"/>
                <w:position w:val="-1"/>
                <w:szCs w:val="21"/>
              </w:rPr>
              <w:t>□无</w:t>
            </w:r>
            <w:r>
              <w:rPr>
                <w:rFonts w:hint="eastAsia" w:ascii="仿宋_GB2312" w:eastAsia="仿宋_GB2312" w:cs="宋体"/>
                <w:color w:val="000000" w:themeColor="text1"/>
                <w:kern w:val="0"/>
                <w:position w:val="-1"/>
                <w:szCs w:val="21"/>
              </w:rPr>
              <w:tab/>
            </w:r>
            <w:r>
              <w:rPr>
                <w:rFonts w:hint="eastAsia" w:ascii="仿宋_GB2312" w:hAnsi="宋体" w:eastAsia="仿宋_GB2312" w:cs="宋体"/>
                <w:color w:val="000000" w:themeColor="text1"/>
                <w:kern w:val="0"/>
                <w:position w:val="-1"/>
                <w:szCs w:val="21"/>
              </w:rPr>
              <w:t>□</w:t>
            </w:r>
            <w:r>
              <w:rPr>
                <w:rFonts w:hint="eastAsia" w:ascii="仿宋_GB2312" w:hAnsi="宋体" w:eastAsia="仿宋_GB2312" w:cs="宋体"/>
                <w:color w:val="000000" w:themeColor="text1"/>
                <w:spacing w:val="-1"/>
                <w:kern w:val="0"/>
                <w:position w:val="-1"/>
                <w:szCs w:val="21"/>
              </w:rPr>
              <w:t>有</w:t>
            </w:r>
            <w:r>
              <w:rPr>
                <w:rFonts w:hint="eastAsia" w:ascii="仿宋_GB2312" w:hAnsi="宋体" w:eastAsia="仿宋_GB2312" w:cs="宋体"/>
                <w:color w:val="000000" w:themeColor="text1"/>
                <w:kern w:val="0"/>
                <w:position w:val="-1"/>
                <w:szCs w:val="21"/>
              </w:rPr>
              <w:t>，原因：</w:t>
            </w:r>
          </w:p>
          <w:p>
            <w:pPr>
              <w:autoSpaceDE w:val="0"/>
              <w:autoSpaceDN w:val="0"/>
              <w:adjustRightInd w:val="0"/>
              <w:rPr>
                <w:rFonts w:ascii="仿宋_GB2312" w:eastAsia="仿宋_GB2312" w:cs="宋体"/>
                <w:color w:val="000000" w:themeColor="text1"/>
                <w:kern w:val="0"/>
                <w:szCs w:val="21"/>
              </w:rPr>
            </w:pPr>
            <w:r>
              <w:rPr>
                <w:rFonts w:hint="eastAsia" w:ascii="仿宋_GB2312" w:hAnsi="宋体" w:eastAsia="仿宋_GB2312" w:cs="宋体"/>
                <w:color w:val="000000" w:themeColor="text1"/>
                <w:spacing w:val="1"/>
                <w:kern w:val="0"/>
                <w:position w:val="-2"/>
                <w:szCs w:val="21"/>
              </w:rPr>
              <w:t>1.</w:t>
            </w:r>
          </w:p>
          <w:p>
            <w:pPr>
              <w:rPr>
                <w:rFonts w:ascii="仿宋_GB2312" w:hAnsi="仿宋_GB2312" w:eastAsia="仿宋_GB2312" w:cs="仿宋_GB2312"/>
                <w:color w:val="000000" w:themeColor="text1"/>
                <w:szCs w:val="21"/>
              </w:rPr>
            </w:pPr>
            <w:r>
              <w:rPr>
                <w:rFonts w:hint="eastAsia" w:ascii="仿宋_GB2312" w:hAnsi="宋体" w:eastAsia="仿宋_GB2312" w:cs="宋体"/>
                <w:color w:val="000000" w:themeColor="text1"/>
                <w:spacing w:val="1"/>
                <w:kern w:val="0"/>
                <w:position w:val="-2"/>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护士</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签名</w:t>
            </w:r>
          </w:p>
        </w:tc>
        <w:tc>
          <w:tcPr>
            <w:tcW w:w="2835" w:type="dxa"/>
          </w:tcPr>
          <w:p>
            <w:pPr>
              <w:rPr>
                <w:rFonts w:ascii="仿宋_GB2312" w:hAnsi="仿宋_GB2312" w:eastAsia="仿宋_GB2312" w:cs="仿宋_GB2312"/>
                <w:color w:val="000000" w:themeColor="text1"/>
                <w:szCs w:val="21"/>
              </w:rPr>
            </w:pPr>
          </w:p>
        </w:tc>
        <w:tc>
          <w:tcPr>
            <w:tcW w:w="2693" w:type="dxa"/>
          </w:tcPr>
          <w:p>
            <w:pPr>
              <w:jc w:val="center"/>
              <w:rPr>
                <w:rFonts w:ascii="仿宋_GB2312" w:hAnsi="仿宋_GB2312" w:eastAsia="仿宋_GB2312" w:cs="仿宋_GB2312"/>
                <w:color w:val="000000" w:themeColor="text1"/>
                <w:szCs w:val="21"/>
              </w:rPr>
            </w:pPr>
          </w:p>
        </w:tc>
        <w:tc>
          <w:tcPr>
            <w:tcW w:w="2835" w:type="dxa"/>
          </w:tcPr>
          <w:p>
            <w:pPr>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01"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医师</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签名</w:t>
            </w:r>
          </w:p>
        </w:tc>
        <w:tc>
          <w:tcPr>
            <w:tcW w:w="2835" w:type="dxa"/>
          </w:tcPr>
          <w:p>
            <w:pPr>
              <w:rPr>
                <w:rFonts w:ascii="仿宋_GB2312" w:hAnsi="仿宋_GB2312" w:eastAsia="仿宋_GB2312" w:cs="仿宋_GB2312"/>
                <w:color w:val="000000" w:themeColor="text1"/>
                <w:szCs w:val="21"/>
              </w:rPr>
            </w:pPr>
          </w:p>
        </w:tc>
        <w:tc>
          <w:tcPr>
            <w:tcW w:w="2693" w:type="dxa"/>
          </w:tcPr>
          <w:p>
            <w:pPr>
              <w:rPr>
                <w:rFonts w:ascii="仿宋_GB2312" w:hAnsi="仿宋_GB2312" w:eastAsia="仿宋_GB2312" w:cs="仿宋_GB2312"/>
                <w:color w:val="000000" w:themeColor="text1"/>
                <w:szCs w:val="21"/>
              </w:rPr>
            </w:pPr>
          </w:p>
        </w:tc>
        <w:tc>
          <w:tcPr>
            <w:tcW w:w="2835" w:type="dxa"/>
          </w:tcPr>
          <w:p>
            <w:pPr>
              <w:rPr>
                <w:rFonts w:ascii="仿宋_GB2312" w:hAnsi="仿宋_GB2312" w:eastAsia="仿宋_GB2312" w:cs="仿宋_GB2312"/>
                <w:color w:val="000000" w:themeColor="text1"/>
                <w:szCs w:val="21"/>
              </w:rPr>
            </w:pPr>
          </w:p>
        </w:tc>
      </w:tr>
    </w:tbl>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2693"/>
        <w:gridCol w:w="2693"/>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时间</w:t>
            </w:r>
          </w:p>
        </w:tc>
        <w:tc>
          <w:tcPr>
            <w:tcW w:w="2693"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（第4天）</w:t>
            </w:r>
          </w:p>
        </w:tc>
        <w:tc>
          <w:tcPr>
            <w:tcW w:w="2693"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（第5-9天）</w:t>
            </w:r>
          </w:p>
        </w:tc>
        <w:tc>
          <w:tcPr>
            <w:tcW w:w="2694"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Times New Roman" w:eastAsia="仿宋_GB2312" w:cs="Times New Roman"/>
                <w:color w:val="000000" w:themeColor="text1"/>
                <w:szCs w:val="21"/>
              </w:rPr>
              <w:t>（第10天）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主要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诊疗</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工作</w:t>
            </w:r>
          </w:p>
        </w:tc>
        <w:tc>
          <w:tcPr>
            <w:tcW w:w="2693" w:type="dxa"/>
          </w:tcPr>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□观察患儿病情（体温波动、肺部体征）</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□分析各项实验室检查结果</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□详细记录实验室检查结果</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□根据病情变化给予进一步处理（营养心肌、保护肝脏等）</w:t>
            </w:r>
          </w:p>
        </w:tc>
        <w:tc>
          <w:tcPr>
            <w:tcW w:w="2693" w:type="dxa"/>
          </w:tcPr>
          <w:p>
            <w:pPr>
              <w:ind w:left="292" w:hanging="291" w:hangingChars="139"/>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□完成病程录，详细记录医嘱变动情况（原因和更改内容）</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□上级医师查房</w:t>
            </w:r>
          </w:p>
          <w:p>
            <w:pPr>
              <w:rPr>
                <w:rFonts w:ascii="仿宋_GB2312" w:hAnsi="仿宋_GB2312" w:eastAsia="仿宋_GB2312" w:cs="仿宋_GB2312"/>
                <w:color w:val="000000" w:themeColor="text1"/>
                <w:szCs w:val="21"/>
              </w:rPr>
            </w:pPr>
          </w:p>
        </w:tc>
        <w:tc>
          <w:tcPr>
            <w:tcW w:w="2694"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□进行体格检查</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□完成出院小结</w:t>
            </w:r>
          </w:p>
          <w:p>
            <w:pPr>
              <w:ind w:left="292" w:hanging="291" w:hangingChars="139"/>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□向患儿及其家长交代出院后注意事项，如来院复诊时间、预防交叉感染等</w:t>
            </w:r>
          </w:p>
          <w:p>
            <w:pP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重要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医嘱</w:t>
            </w:r>
          </w:p>
        </w:tc>
        <w:tc>
          <w:tcPr>
            <w:tcW w:w="2693"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□儿科护理常规</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□I级护理</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□流质/半流/普食</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□心电监护、吸氧、吸痰（必要时）</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□头孢类（酌情选一种，必要时可两种联用，如过敏可改用大环内酯类）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□阿莫西林克拉维酸钾</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□头孢硫脒50-150mg/kg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□头孢替安50-150mg/kg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□头孢他定50-150mg/kg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□阿奇霉素5-10mg/kg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□红霉素20-30mg/kg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□抗病毒治疗（可选一种）</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□利巴韦林10-15mg/kg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□阿糖腺苷10-15mg/kg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□氨溴索 7.5～30mg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□氧驱或压缩雾化吸入(可选用吸入激素加一种β受体激动剂)</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□布地奈德0.5-1mg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□沙丁胺醇0.2mg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□特布他林2.5-5mg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□口服止咳化痰药物</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□退热对症治疗</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□其他</w:t>
            </w:r>
          </w:p>
        </w:tc>
        <w:tc>
          <w:tcPr>
            <w:tcW w:w="2693"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□儿科护理常规</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□I级护理</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□流质/半流/普食</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□心电监护、吸氧、吸痰（必要时）</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□头孢类（酌情选一种，必要时可两种联用，如过敏可改用大环内酯类）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□阿莫西林克拉维酸钾</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□头孢硫脒50-150mg/kg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□头孢替安50-150mg/kg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□头孢他定50-150mg/kg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□阿奇霉素5-10mg/kg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□红霉素20-30mg/kg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□抗病毒治疗（可选一种）</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□利巴韦林10-15mg/kg</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□阿糖腺苷10-15mg/kg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□氨溴索 7.5～30mg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□氧驱或压缩雾化吸入(可选用吸入激素加一种β受体激动剂)</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□布地奈德0.5-1mg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□沙丁胺醇0.2mg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□特布他林2.5-5mg</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□口服止咳化痰药物</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□退热对症治疗</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□复查血常规、CRP、肝肾功能</w:t>
            </w:r>
          </w:p>
          <w:p>
            <w:pPr>
              <w:ind w:left="292" w:hanging="291" w:hangingChars="139"/>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□复查胸片</w:t>
            </w:r>
          </w:p>
          <w:p>
            <w:pPr>
              <w:ind w:left="292" w:hanging="291" w:hangingChars="139"/>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□其他</w:t>
            </w:r>
          </w:p>
        </w:tc>
        <w:tc>
          <w:tcPr>
            <w:tcW w:w="2694"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出院标准：</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1.咳嗽明显减轻</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2.连续3天腋温&lt;37.5℃</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3.肺体征改善</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4.X线胸片示炎症明显吸收</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出院医嘱：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□出院带药</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□门诊随访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护理</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路径</w:t>
            </w:r>
          </w:p>
        </w:tc>
        <w:tc>
          <w:tcPr>
            <w:tcW w:w="2693"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□观察生命体征及一般情况</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□观察咳嗽程度，及时翻身拍背，保持呼吸道通畅</w:t>
            </w:r>
          </w:p>
          <w:p>
            <w:pPr>
              <w:ind w:left="252" w:hanging="252" w:hangingChars="12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□观察药物副作用（皮疹、胃肠道反应）</w:t>
            </w:r>
          </w:p>
        </w:tc>
        <w:tc>
          <w:tcPr>
            <w:tcW w:w="2693" w:type="dxa"/>
          </w:tcPr>
          <w:p>
            <w:pPr>
              <w:ind w:left="328" w:hanging="327" w:hangingChars="15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□观察患者一般状况</w:t>
            </w:r>
          </w:p>
          <w:p>
            <w:pPr>
              <w:ind w:left="328" w:hanging="327" w:hangingChars="156"/>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□观察体温波动</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□观察咳嗽程度</w:t>
            </w:r>
          </w:p>
          <w:p>
            <w:pPr>
              <w:rPr>
                <w:rFonts w:ascii="仿宋_GB2312" w:hAnsi="仿宋_GB2312" w:eastAsia="仿宋_GB2312" w:cs="仿宋_GB2312"/>
                <w:color w:val="000000" w:themeColor="text1"/>
                <w:szCs w:val="21"/>
              </w:rPr>
            </w:pPr>
          </w:p>
        </w:tc>
        <w:tc>
          <w:tcPr>
            <w:tcW w:w="2694" w:type="dxa"/>
          </w:tcPr>
          <w:p>
            <w:pPr>
              <w:ind w:left="292" w:hanging="291" w:hangingChars="139"/>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□详细告知各注意事项（勤洗手、减少公众地带活动，如咳嗽加剧等及时就诊）</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□告知药物使用方法</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□出院宣教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主要</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护理</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工作</w:t>
            </w:r>
          </w:p>
        </w:tc>
        <w:tc>
          <w:tcPr>
            <w:tcW w:w="2693"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□静脉置管护理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□床位费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□空调费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□小儿静脉输液</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□换液体</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□小儿雾化吸入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□静脉采血</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□一次性敷贴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□医疗废物处置</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□温水擦浴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□吸氧、拍背吸痰</w:t>
            </w:r>
          </w:p>
        </w:tc>
        <w:tc>
          <w:tcPr>
            <w:tcW w:w="2693"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□静脉置管护理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□换液体</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□床位费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□空调费</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□小儿静脉输液</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□小儿雾化吸入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□静脉留置针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□静脉采血</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□一次性敷贴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□医疗废物处置</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□温水擦浴</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□吸氧、拍背吸痰</w:t>
            </w:r>
          </w:p>
        </w:tc>
        <w:tc>
          <w:tcPr>
            <w:tcW w:w="2694" w:type="dxa"/>
          </w:tcPr>
          <w:p>
            <w:pPr>
              <w:ind w:left="292" w:hanging="291" w:hangingChars="139"/>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4" w:hRule="atLeast"/>
        </w:trPr>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病情</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变异</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记录</w:t>
            </w:r>
          </w:p>
        </w:tc>
        <w:tc>
          <w:tcPr>
            <w:tcW w:w="2693"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2693"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2694"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护士</w:t>
            </w:r>
          </w:p>
          <w:p>
            <w:pPr>
              <w:ind w:firstLine="163" w:firstLineChars="78"/>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签名</w:t>
            </w:r>
          </w:p>
        </w:tc>
        <w:tc>
          <w:tcPr>
            <w:tcW w:w="2693" w:type="dxa"/>
          </w:tcPr>
          <w:p>
            <w:pPr>
              <w:rPr>
                <w:rFonts w:ascii="仿宋_GB2312" w:hAnsi="仿宋_GB2312" w:eastAsia="仿宋_GB2312" w:cs="仿宋_GB2312"/>
                <w:color w:val="000000" w:themeColor="text1"/>
                <w:szCs w:val="21"/>
              </w:rPr>
            </w:pPr>
          </w:p>
        </w:tc>
        <w:tc>
          <w:tcPr>
            <w:tcW w:w="2693" w:type="dxa"/>
          </w:tcPr>
          <w:p>
            <w:pPr>
              <w:jc w:val="center"/>
              <w:rPr>
                <w:rFonts w:ascii="仿宋_GB2312" w:hAnsi="仿宋_GB2312" w:eastAsia="仿宋_GB2312" w:cs="仿宋_GB2312"/>
                <w:color w:val="000000" w:themeColor="text1"/>
                <w:szCs w:val="21"/>
              </w:rPr>
            </w:pPr>
          </w:p>
        </w:tc>
        <w:tc>
          <w:tcPr>
            <w:tcW w:w="2694" w:type="dxa"/>
          </w:tcPr>
          <w:p>
            <w:pP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59" w:type="dxa"/>
            <w:vAlign w:val="center"/>
          </w:tcPr>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医师</w:t>
            </w:r>
          </w:p>
          <w:p>
            <w:pPr>
              <w:jc w:val="cente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签名</w:t>
            </w:r>
          </w:p>
        </w:tc>
        <w:tc>
          <w:tcPr>
            <w:tcW w:w="2693" w:type="dxa"/>
          </w:tcPr>
          <w:p>
            <w:pPr>
              <w:rPr>
                <w:rFonts w:ascii="仿宋_GB2312" w:hAnsi="仿宋_GB2312" w:eastAsia="仿宋_GB2312" w:cs="仿宋_GB2312"/>
                <w:color w:val="000000" w:themeColor="text1"/>
                <w:szCs w:val="21"/>
              </w:rPr>
            </w:pPr>
          </w:p>
        </w:tc>
        <w:tc>
          <w:tcPr>
            <w:tcW w:w="2693" w:type="dxa"/>
          </w:tcPr>
          <w:p>
            <w:pPr>
              <w:rPr>
                <w:rFonts w:ascii="仿宋_GB2312" w:hAnsi="仿宋_GB2312" w:eastAsia="仿宋_GB2312" w:cs="仿宋_GB2312"/>
                <w:color w:val="000000" w:themeColor="text1"/>
                <w:szCs w:val="21"/>
              </w:rPr>
            </w:pPr>
          </w:p>
        </w:tc>
        <w:tc>
          <w:tcPr>
            <w:tcW w:w="2694" w:type="dxa"/>
          </w:tcPr>
          <w:p>
            <w:pPr>
              <w:rPr>
                <w:rFonts w:ascii="仿宋_GB2312" w:hAnsi="仿宋_GB2312" w:eastAsia="仿宋_GB2312" w:cs="仿宋_GB2312"/>
                <w:color w:val="000000" w:themeColor="text1"/>
                <w:szCs w:val="21"/>
              </w:rPr>
            </w:pPr>
          </w:p>
        </w:tc>
      </w:tr>
    </w:tbl>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adjustRightInd w:val="0"/>
        <w:snapToGrid w:val="0"/>
        <w:spacing w:line="360" w:lineRule="auto"/>
        <w:rPr>
          <w:b/>
          <w:color w:val="000000" w:themeColor="text1"/>
          <w:sz w:val="44"/>
          <w:szCs w:val="44"/>
          <w:lang w:val="en-GB"/>
        </w:rPr>
      </w:pPr>
    </w:p>
    <w:p>
      <w:pPr>
        <w:adjustRightInd w:val="0"/>
        <w:snapToGrid w:val="0"/>
        <w:spacing w:line="360" w:lineRule="auto"/>
        <w:rPr>
          <w:b/>
          <w:color w:val="000000" w:themeColor="text1"/>
          <w:sz w:val="44"/>
          <w:szCs w:val="44"/>
          <w:lang w:val="en-GB"/>
        </w:rPr>
        <w:sectPr>
          <w:pgSz w:w="11850" w:h="16838"/>
          <w:pgMar w:top="1134" w:right="1134" w:bottom="1134" w:left="1134" w:header="851" w:footer="992" w:gutter="0"/>
          <w:pgNumType w:fmt="numberInDash"/>
          <w:cols w:space="425" w:num="1"/>
          <w:docGrid w:type="lines" w:linePitch="312" w:charSpace="0"/>
        </w:sectPr>
      </w:pPr>
    </w:p>
    <w:p>
      <w:pPr>
        <w:adjustRightInd w:val="0"/>
        <w:snapToGrid w:val="0"/>
        <w:spacing w:line="400" w:lineRule="exact"/>
        <w:rPr>
          <w:rFonts w:ascii="黑体" w:hAnsi="黑体" w:eastAsia="黑体" w:cs="方正小标宋简体"/>
          <w:bCs/>
          <w:color w:val="000000" w:themeColor="text1"/>
          <w:sz w:val="36"/>
          <w:szCs w:val="36"/>
          <w:lang w:val="en-GB"/>
        </w:rPr>
      </w:pPr>
      <w:r>
        <w:rPr>
          <w:rFonts w:hint="eastAsia" w:ascii="黑体" w:hAnsi="黑体" w:eastAsia="黑体" w:cs="方正小标宋简体"/>
          <w:bCs/>
          <w:color w:val="000000" w:themeColor="text1"/>
          <w:sz w:val="36"/>
          <w:szCs w:val="36"/>
        </w:rPr>
        <w:t>7.</w:t>
      </w:r>
      <w:r>
        <w:rPr>
          <w:rFonts w:hint="eastAsia" w:ascii="黑体" w:hAnsi="黑体" w:eastAsia="黑体" w:cs="方正小标宋简体"/>
          <w:bCs/>
          <w:color w:val="000000" w:themeColor="text1"/>
          <w:sz w:val="36"/>
          <w:szCs w:val="36"/>
          <w:lang w:val="en-GB"/>
        </w:rPr>
        <w:t>泌尿道感染</w:t>
      </w:r>
    </w:p>
    <w:p>
      <w:pPr>
        <w:adjustRightInd w:val="0"/>
        <w:snapToGrid w:val="0"/>
        <w:spacing w:line="400" w:lineRule="exact"/>
        <w:jc w:val="center"/>
        <w:rPr>
          <w:rFonts w:ascii="仿宋_GB2312" w:hAnsi="方正小标宋简体" w:eastAsia="仿宋_GB2312" w:cs="方正小标宋简体"/>
          <w:b/>
          <w:bCs/>
          <w:color w:val="000000" w:themeColor="text1"/>
          <w:sz w:val="32"/>
          <w:szCs w:val="32"/>
          <w:lang w:val="en-GB"/>
        </w:rPr>
      </w:pPr>
    </w:p>
    <w:p>
      <w:pPr>
        <w:adjustRightInd w:val="0"/>
        <w:snapToGrid w:val="0"/>
        <w:spacing w:line="400" w:lineRule="exact"/>
        <w:jc w:val="center"/>
        <w:rPr>
          <w:rFonts w:ascii="仿宋_GB2312" w:hAnsi="黑体" w:eastAsia="仿宋_GB2312" w:cs="方正小标宋简体"/>
          <w:b/>
          <w:bCs/>
          <w:color w:val="000000" w:themeColor="text1"/>
          <w:sz w:val="32"/>
          <w:szCs w:val="32"/>
          <w:lang w:val="en-GB"/>
        </w:rPr>
      </w:pPr>
      <w:r>
        <w:rPr>
          <w:rFonts w:hint="eastAsia" w:ascii="仿宋_GB2312" w:hAnsi="方正小标宋简体" w:eastAsia="仿宋_GB2312" w:cs="方正小标宋简体"/>
          <w:b/>
          <w:bCs/>
          <w:color w:val="000000" w:themeColor="text1"/>
          <w:sz w:val="32"/>
          <w:szCs w:val="32"/>
          <w:lang w:val="en-GB"/>
        </w:rPr>
        <w:t>一、临床路径标准治疗流程</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（一）适用对象</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第一诊断为泌尿道感染(ICD-10:N39.000)的患者。</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（二）诊断依据</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根据《临床诊疗指南-肾脏病学分册》(中华医学会肾脏病学分会编著).《临床技术操作规范-肾脏病学分册》(中华医学会肾脏病学分会编著)。</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1.有尿路刺激症状:主要表现为尿频、尿急、尿痛、排尿不适、下腹部疼痛等,部分患者迅速出现排尿困难。尿液常混浊,并有异味,约 30%可出现血尿。</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2.常有全身感染的症状:寒战、发热、头痛、恶心、呕吐、食欲下降等。</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3.血白细胞计数升高和血沉增快,离心尿白细胞≥5/Hp 或清洁中段尿细菌定量培养阳性。</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4.必要时,无症状性细菌尿的诊断主要依靠尿细菌学检查,要求两次细菌培养均为同一菌种的真性菌尿。</w:t>
      </w:r>
    </w:p>
    <w:p>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5.当女性有明显尿频、尿急、尿痛,尿白细胞增多,尿细菌定量培养≥10/ml,并为常见致病菌时,可拟诊为尿路感染。</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（三）治疗方案的选择</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根据《临床诊疗指南-肾脏病学分册》(中华医学会肾脏病学分会编著),《临床技术操作规范-肾脏病学分册》(中华医学会肾脏病学分会编著)</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1.选用对致病菌敏感的药物,必要时联合用药,足够疗程,预防或治疗败血症。</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2.对症及支持治疗,</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3.纠正易患因素。</w:t>
      </w:r>
    </w:p>
    <w:p>
      <w:pPr>
        <w:adjustRightInd w:val="0"/>
        <w:snapToGrid w:val="0"/>
        <w:spacing w:line="400" w:lineRule="exact"/>
        <w:ind w:firstLine="481" w:firstLineChars="200"/>
        <w:rPr>
          <w:rFonts w:hint="eastAsia"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（四）标准住院日</w:t>
      </w:r>
    </w:p>
    <w:p>
      <w:pPr>
        <w:adjustRightInd w:val="0"/>
        <w:snapToGrid w:val="0"/>
        <w:spacing w:line="400" w:lineRule="exact"/>
        <w:ind w:firstLine="480"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Cs/>
          <w:color w:val="000000"/>
          <w:sz w:val="24"/>
          <w:lang w:val="en-GB"/>
        </w:rPr>
        <w:t>≥3 天。</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（五）进入路径标准</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1.第一诊断必须符合泌尿道感染(ICD-10: N39.000 )编码。</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2.当患者同时具有其他疾病诊断时,但住院期问不需要特殊处理,也不影响第一诊断的临床路径流程实施时,可以进入路径。</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（六）检查项目</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1.必需的检查项目:</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(1)血常规、尿常规、大便常规;</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(2)电解质、血糖、CRP、ESR 等;</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(3)超声波检查(双肾形态大小,输尿管、膀胱、男性加前列腺)。</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2.根据患者情况可选择的检查项目:</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(1)血、尿渗透压,尿 N-乙酰-β氨基葡萄糖苷酶(NAG)、尿β:微球蛋白、24 小时尿蛋</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白定量,尿找支原体和衣原体、尿结核杆菌培养、尿液高渗培养、血 G(1,3-β-D-葡聚糖)试验、GM(半乳甘露聚糖)试验、肝功能、肾功能、血培养等;</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(2)胸片、心电图、残余尿超声、腹部超声、妇科超声、腹部 X 线平片、静脉肾盂造影、膀胱输尿管反流造影,必要时 CT 检查等。</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（七）选择用药</w:t>
      </w:r>
    </w:p>
    <w:p>
      <w:pPr>
        <w:adjustRightInd w:val="0"/>
        <w:snapToGrid w:val="0"/>
        <w:spacing w:line="400" w:lineRule="exact"/>
        <w:ind w:firstLine="480" w:firstLineChars="200"/>
        <w:rPr>
          <w:rFonts w:ascii="仿宋_GB2312" w:hAnsi="仿宋_GB2312" w:eastAsia="仿宋_GB2312" w:cs="仿宋_GB2312"/>
          <w:color w:val="000000"/>
          <w:sz w:val="24"/>
          <w:lang w:val="en-GB"/>
        </w:rPr>
      </w:pPr>
      <w:r>
        <w:rPr>
          <w:rFonts w:hint="eastAsia" w:ascii="仿宋_GB2312" w:hAnsi="仿宋_GB2312" w:eastAsia="仿宋_GB2312" w:cs="仿宋_GB2312"/>
          <w:color w:val="000000"/>
          <w:sz w:val="24"/>
          <w:lang w:val="en-GB"/>
        </w:rPr>
        <w:t>宜静脉给药,选用对致病菌敏感、抗菌药在尿及肾内浓度要高(宜选用杀菌剂)、肾毒性要小的抗菌药,严重感染时联合用药。疗程一般为 14 天。血培养阳性者疗程可适当延长。</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（八）出院标准</w:t>
      </w:r>
    </w:p>
    <w:p>
      <w:pPr>
        <w:adjustRightInd w:val="0"/>
        <w:snapToGrid w:val="0"/>
        <w:spacing w:line="400" w:lineRule="exact"/>
        <w:ind w:firstLine="480" w:firstLineChars="200"/>
        <w:rPr>
          <w:rFonts w:ascii="仿宋_GB2312" w:hAnsi="仿宋_GB2312" w:eastAsia="仿宋_GB2312" w:cs="仿宋_GB2312"/>
          <w:bCs/>
          <w:color w:val="000000"/>
          <w:sz w:val="24"/>
          <w:lang w:val="en-GB"/>
        </w:rPr>
      </w:pPr>
      <w:r>
        <w:rPr>
          <w:rFonts w:hint="eastAsia" w:ascii="仿宋_GB2312" w:hAnsi="仿宋_GB2312" w:eastAsia="仿宋_GB2312" w:cs="仿宋_GB2312"/>
          <w:bCs/>
          <w:color w:val="000000"/>
          <w:sz w:val="24"/>
          <w:lang w:val="en-GB"/>
        </w:rPr>
        <w:t>1.临床症状改善,非复杂性尿感者尿常规正常或尿培养转阴。</w:t>
      </w:r>
    </w:p>
    <w:p>
      <w:pPr>
        <w:adjustRightInd w:val="0"/>
        <w:snapToGrid w:val="0"/>
        <w:spacing w:line="400" w:lineRule="exact"/>
        <w:ind w:firstLine="480" w:firstLineChars="200"/>
        <w:rPr>
          <w:rFonts w:ascii="仿宋_GB2312" w:hAnsi="仿宋_GB2312" w:eastAsia="仿宋_GB2312" w:cs="仿宋_GB2312"/>
          <w:bCs/>
          <w:color w:val="000000"/>
          <w:sz w:val="24"/>
          <w:lang w:val="en-GB"/>
        </w:rPr>
      </w:pPr>
      <w:r>
        <w:rPr>
          <w:rFonts w:hint="eastAsia" w:ascii="仿宋_GB2312" w:hAnsi="仿宋_GB2312" w:eastAsia="仿宋_GB2312" w:cs="仿宋_GB2312"/>
          <w:bCs/>
          <w:color w:val="000000"/>
          <w:sz w:val="24"/>
          <w:lang w:val="en-GB"/>
        </w:rPr>
        <w:t>2.没有需要住院处理的并发症和/或合并症。</w:t>
      </w:r>
    </w:p>
    <w:p>
      <w:pPr>
        <w:adjustRightInd w:val="0"/>
        <w:snapToGrid w:val="0"/>
        <w:spacing w:line="400" w:lineRule="exact"/>
        <w:ind w:firstLine="481" w:firstLineChars="200"/>
        <w:rPr>
          <w:rFonts w:ascii="仿宋_GB2312" w:hAnsi="仿宋_GB2312" w:eastAsia="仿宋_GB2312" w:cs="仿宋_GB2312"/>
          <w:b/>
          <w:color w:val="000000"/>
          <w:sz w:val="24"/>
          <w:lang w:val="en-GB"/>
        </w:rPr>
      </w:pPr>
      <w:r>
        <w:rPr>
          <w:rFonts w:hint="eastAsia" w:ascii="仿宋_GB2312" w:hAnsi="仿宋_GB2312" w:eastAsia="仿宋_GB2312" w:cs="仿宋_GB2312"/>
          <w:b/>
          <w:color w:val="000000"/>
          <w:sz w:val="24"/>
          <w:lang w:val="en-GB"/>
        </w:rPr>
        <w:t>（九）退出、变异原因分析</w:t>
      </w:r>
    </w:p>
    <w:p>
      <w:pPr>
        <w:adjustRightInd w:val="0"/>
        <w:snapToGrid w:val="0"/>
        <w:spacing w:line="400" w:lineRule="exact"/>
        <w:ind w:firstLine="480" w:firstLineChars="200"/>
        <w:rPr>
          <w:rFonts w:ascii="仿宋_GB2312" w:hAnsi="仿宋_GB2312" w:eastAsia="仿宋_GB2312" w:cs="仿宋_GB2312"/>
          <w:bCs/>
          <w:color w:val="000000"/>
          <w:sz w:val="24"/>
          <w:lang w:val="en-GB"/>
        </w:rPr>
      </w:pPr>
      <w:r>
        <w:rPr>
          <w:rFonts w:hint="eastAsia" w:ascii="仿宋_GB2312" w:hAnsi="仿宋_GB2312" w:eastAsia="仿宋_GB2312" w:cs="仿宋_GB2312"/>
          <w:bCs/>
          <w:color w:val="000000"/>
          <w:sz w:val="24"/>
          <w:lang w:val="en-GB"/>
        </w:rPr>
        <w:t>1.泌尿道感染同时伴有泌尿道结石需要手术治疗或超声碎石的不进入本路径。</w:t>
      </w:r>
    </w:p>
    <w:p>
      <w:pPr>
        <w:adjustRightInd w:val="0"/>
        <w:snapToGrid w:val="0"/>
        <w:spacing w:line="400" w:lineRule="exact"/>
        <w:ind w:firstLine="480" w:firstLineChars="200"/>
        <w:rPr>
          <w:rFonts w:ascii="仿宋_GB2312" w:hAnsi="仿宋_GB2312" w:eastAsia="仿宋_GB2312" w:cs="仿宋_GB2312"/>
          <w:bCs/>
          <w:color w:val="000000"/>
          <w:sz w:val="24"/>
          <w:lang w:val="en-GB"/>
        </w:rPr>
      </w:pPr>
      <w:r>
        <w:rPr>
          <w:rFonts w:hint="eastAsia" w:ascii="仿宋_GB2312" w:hAnsi="仿宋_GB2312" w:eastAsia="仿宋_GB2312" w:cs="仿宋_GB2312"/>
          <w:bCs/>
          <w:color w:val="000000"/>
          <w:sz w:val="24"/>
          <w:lang w:val="en-GB"/>
        </w:rPr>
        <w:t>2.老年人出现心肺脑等其他重要脏器病变,影响路径执行时,退出路径。</w:t>
      </w: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r>
        <w:rPr>
          <w:rFonts w:hint="eastAsia" w:ascii="仿宋_GB2312" w:hAnsi="仿宋_GB2312" w:eastAsia="仿宋_GB2312" w:cs="仿宋_GB2312"/>
          <w:bCs/>
          <w:color w:val="000000"/>
          <w:sz w:val="24"/>
          <w:lang w:val="en-GB"/>
        </w:rPr>
        <w:t>3.临床症状改善不明显,需要调整药物进一步治疗,导致住院时间延长,费用增加者。</w:t>
      </w: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adjustRightInd w:val="0"/>
        <w:snapToGrid w:val="0"/>
        <w:spacing w:line="400" w:lineRule="exact"/>
        <w:ind w:firstLine="480" w:firstLineChars="200"/>
        <w:rPr>
          <w:rFonts w:hint="eastAsia" w:ascii="仿宋_GB2312" w:hAnsi="仿宋_GB2312" w:eastAsia="仿宋_GB2312" w:cs="仿宋_GB2312"/>
          <w:bCs/>
          <w:color w:val="000000"/>
          <w:sz w:val="24"/>
          <w:lang w:val="en-GB"/>
        </w:rPr>
      </w:pPr>
    </w:p>
    <w:p>
      <w:pPr>
        <w:tabs>
          <w:tab w:val="left" w:pos="630"/>
        </w:tabs>
        <w:spacing w:line="360" w:lineRule="auto"/>
        <w:ind w:firstLine="321" w:firstLineChars="100"/>
        <w:jc w:val="center"/>
        <w:rPr>
          <w:rFonts w:hint="eastAsia" w:ascii="仿宋_GB2312" w:hAnsi="方正小标宋简体" w:eastAsia="仿宋_GB2312" w:cs="方正小标宋简体"/>
          <w:b/>
          <w:color w:val="000000" w:themeColor="text1"/>
          <w:sz w:val="32"/>
          <w:szCs w:val="32"/>
        </w:rPr>
      </w:pPr>
    </w:p>
    <w:p>
      <w:pPr>
        <w:tabs>
          <w:tab w:val="left" w:pos="630"/>
        </w:tabs>
        <w:spacing w:line="360" w:lineRule="auto"/>
        <w:ind w:firstLine="321" w:firstLineChars="100"/>
        <w:jc w:val="center"/>
        <w:rPr>
          <w:rFonts w:ascii="仿宋_GB2312" w:hAnsi="方正小标宋简体" w:eastAsia="仿宋_GB2312" w:cs="方正小标宋简体"/>
          <w:b/>
          <w:color w:val="000000" w:themeColor="text1"/>
          <w:sz w:val="32"/>
          <w:szCs w:val="32"/>
        </w:rPr>
      </w:pPr>
      <w:r>
        <w:rPr>
          <w:rFonts w:hint="eastAsia" w:ascii="仿宋_GB2312" w:hAnsi="方正小标宋简体" w:eastAsia="仿宋_GB2312" w:cs="方正小标宋简体"/>
          <w:b/>
          <w:color w:val="000000" w:themeColor="text1"/>
          <w:sz w:val="32"/>
          <w:szCs w:val="32"/>
        </w:rPr>
        <w:t>二、泌尿道感染日间病床临床路径表单</w:t>
      </w:r>
    </w:p>
    <w:p>
      <w:pPr>
        <w:ind w:left="1200" w:hanging="1200" w:hangingChars="500"/>
        <w:rPr>
          <w:rFonts w:ascii="仿宋_GB2312" w:hAnsi="仿宋_GB2312" w:eastAsia="仿宋_GB2312" w:cs="仿宋_GB2312"/>
          <w:sz w:val="24"/>
        </w:rPr>
      </w:pPr>
      <w:r>
        <w:rPr>
          <w:rFonts w:hint="eastAsia" w:ascii="仿宋_GB2312" w:hAnsi="仿宋_GB2312" w:eastAsia="仿宋_GB2312" w:cs="仿宋_GB2312"/>
          <w:color w:val="000000" w:themeColor="text1"/>
          <w:sz w:val="24"/>
        </w:rPr>
        <w:t>适用对象：</w:t>
      </w:r>
      <w:r>
        <w:rPr>
          <w:rFonts w:hint="eastAsia" w:ascii="仿宋_GB2312" w:hAnsi="仿宋_GB2312" w:eastAsia="仿宋_GB2312" w:cs="仿宋_GB2312"/>
          <w:kern w:val="0"/>
          <w:sz w:val="24"/>
        </w:rPr>
        <w:t>第一诊断为泌尿道感染(ICD-10:N39.000)</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sz w:val="24"/>
          <w:u w:val="single"/>
        </w:rPr>
      </w:pPr>
      <w:r>
        <w:rPr>
          <w:rFonts w:hint="eastAsia" w:ascii="仿宋_GB2312" w:hAnsi="仿宋_GB2312" w:eastAsia="仿宋_GB2312" w:cs="仿宋_GB2312"/>
          <w:color w:val="000000" w:themeColor="text1"/>
          <w:sz w:val="24"/>
        </w:rPr>
        <w:t>标准住院日：</w:t>
      </w:r>
      <w:r>
        <w:rPr>
          <w:rFonts w:hint="eastAsia" w:ascii="仿宋_GB2312" w:hAnsi="仿宋_GB2312" w:eastAsia="仿宋_GB2312" w:cs="仿宋_GB2312"/>
          <w:sz w:val="24"/>
        </w:rPr>
        <w:t xml:space="preserve">≥3 天                    </w:t>
      </w:r>
      <w:r>
        <w:rPr>
          <w:rFonts w:hint="eastAsia" w:ascii="仿宋_GB2312" w:hAnsi="仿宋_GB2312" w:eastAsia="仿宋_GB2312" w:cs="仿宋_GB2312"/>
          <w:color w:val="000000" w:themeColor="text1"/>
          <w:sz w:val="24"/>
        </w:rPr>
        <w:t xml:space="preserve">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3268"/>
        <w:gridCol w:w="2898"/>
        <w:gridCol w:w="2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71" w:type="pct"/>
            <w:tcBorders>
              <w:top w:val="double" w:color="auto" w:sz="4" w:space="0"/>
              <w:left w:val="double" w:color="auto" w:sz="4" w:space="0"/>
              <w:bottom w:val="double" w:color="auto" w:sz="4" w:space="0"/>
              <w:right w:val="double" w:color="auto" w:sz="4" w:space="0"/>
            </w:tcBorders>
            <w:vAlign w:val="center"/>
          </w:tcPr>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日期</w:t>
            </w:r>
          </w:p>
        </w:tc>
        <w:tc>
          <w:tcPr>
            <w:tcW w:w="1669" w:type="pct"/>
            <w:tcBorders>
              <w:top w:val="double" w:color="auto" w:sz="4" w:space="0"/>
              <w:left w:val="double" w:color="auto" w:sz="4" w:space="0"/>
              <w:bottom w:val="double" w:color="auto" w:sz="4" w:space="0"/>
              <w:right w:val="double" w:color="auto" w:sz="4" w:space="0"/>
            </w:tcBorders>
            <w:vAlign w:val="center"/>
          </w:tcPr>
          <w:p>
            <w:pPr>
              <w:widowControl/>
              <w:adjustRightInd w:val="0"/>
              <w:snapToGrid w:val="0"/>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住院第1天</w:t>
            </w:r>
          </w:p>
        </w:tc>
        <w:tc>
          <w:tcPr>
            <w:tcW w:w="1480" w:type="pct"/>
            <w:tcBorders>
              <w:top w:val="double" w:color="auto" w:sz="4" w:space="0"/>
              <w:left w:val="double" w:color="auto" w:sz="4" w:space="0"/>
              <w:bottom w:val="double" w:color="auto" w:sz="4" w:space="0"/>
              <w:right w:val="double" w:color="auto" w:sz="4" w:space="0"/>
            </w:tcBorders>
            <w:vAlign w:val="center"/>
          </w:tcPr>
          <w:p>
            <w:pPr>
              <w:widowControl/>
              <w:adjustRightInd w:val="0"/>
              <w:snapToGrid w:val="0"/>
              <w:spacing w:line="260" w:lineRule="exact"/>
              <w:jc w:val="cente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住院第2天</w:t>
            </w:r>
          </w:p>
        </w:tc>
        <w:tc>
          <w:tcPr>
            <w:tcW w:w="1480" w:type="pct"/>
            <w:tcBorders>
              <w:top w:val="double" w:color="auto" w:sz="4" w:space="0"/>
              <w:left w:val="double" w:color="auto" w:sz="4" w:space="0"/>
              <w:bottom w:val="double" w:color="auto" w:sz="4" w:space="0"/>
              <w:right w:val="double" w:color="auto" w:sz="4" w:space="0"/>
            </w:tcBorders>
            <w:vAlign w:val="center"/>
          </w:tcPr>
          <w:p>
            <w:pPr>
              <w:widowControl/>
              <w:adjustRightInd w:val="0"/>
              <w:snapToGrid w:val="0"/>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住院第 3-7 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jc w:val="center"/>
        </w:trPr>
        <w:tc>
          <w:tcPr>
            <w:tcW w:w="371" w:type="pct"/>
            <w:tcBorders>
              <w:top w:val="double" w:color="auto" w:sz="4" w:space="0"/>
              <w:left w:val="single" w:color="auto" w:sz="8" w:space="0"/>
              <w:bottom w:val="single" w:color="auto" w:sz="8" w:space="0"/>
              <w:right w:val="single" w:color="auto" w:sz="8" w:space="0"/>
            </w:tcBorders>
            <w:vAlign w:val="center"/>
          </w:tcPr>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主</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要</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诊</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疗</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工</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作</w:t>
            </w:r>
          </w:p>
        </w:tc>
        <w:tc>
          <w:tcPr>
            <w:tcW w:w="1669" w:type="pct"/>
            <w:tcBorders>
              <w:top w:val="double" w:color="auto" w:sz="4" w:space="0"/>
              <w:left w:val="single" w:color="auto" w:sz="8" w:space="0"/>
              <w:bottom w:val="single" w:color="auto" w:sz="8" w:space="0"/>
              <w:right w:val="single" w:color="auto" w:sz="8" w:space="0"/>
            </w:tcBorders>
          </w:tcPr>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□询问病史与体格检查</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□完善病历</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□医患沟通与知情同意</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□完善相关辅助检查</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□抗感染治疗</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□对症支持治疗</w:t>
            </w:r>
          </w:p>
        </w:tc>
        <w:tc>
          <w:tcPr>
            <w:tcW w:w="1480" w:type="pct"/>
            <w:tcBorders>
              <w:top w:val="double" w:color="auto" w:sz="4" w:space="0"/>
              <w:left w:val="single" w:color="auto" w:sz="8" w:space="0"/>
              <w:bottom w:val="single" w:color="auto" w:sz="8" w:space="0"/>
              <w:right w:val="single" w:color="auto" w:sz="8" w:space="0"/>
            </w:tcBorders>
          </w:tcPr>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□上级医师查房</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□完善病程记录</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□评价全身功能状态</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□评估辅助检查结果</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□防治并发症</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□调整治疗方案</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□相关科室会诊(必要时)</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p>
        </w:tc>
        <w:tc>
          <w:tcPr>
            <w:tcW w:w="1480" w:type="pct"/>
            <w:tcBorders>
              <w:top w:val="double" w:color="auto" w:sz="4" w:space="0"/>
              <w:left w:val="single" w:color="auto" w:sz="8" w:space="0"/>
              <w:bottom w:val="single" w:color="auto" w:sz="8" w:space="0"/>
              <w:right w:val="single" w:color="auto" w:sz="8" w:space="0"/>
            </w:tcBorders>
          </w:tcPr>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□上级医师查房</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□完善病程记录</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□调整治疗方案</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□指导办理出院</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□指导出院后复诊</w:t>
            </w:r>
          </w:p>
          <w:p>
            <w:pPr>
              <w:pStyle w:val="17"/>
              <w:widowControl/>
              <w:tabs>
                <w:tab w:val="left" w:pos="360"/>
              </w:tabs>
              <w:snapToGrid w:val="0"/>
              <w:spacing w:line="260" w:lineRule="exact"/>
              <w:ind w:firstLine="0" w:firstLineChars="0"/>
              <w:jc w:val="lef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5" w:hRule="atLeast"/>
          <w:jc w:val="center"/>
        </w:trPr>
        <w:tc>
          <w:tcPr>
            <w:tcW w:w="371" w:type="pct"/>
            <w:tcBorders>
              <w:top w:val="single" w:color="auto" w:sz="8" w:space="0"/>
              <w:left w:val="single" w:color="auto" w:sz="8" w:space="0"/>
              <w:bottom w:val="single" w:color="auto" w:sz="8" w:space="0"/>
              <w:right w:val="single" w:color="auto" w:sz="8" w:space="0"/>
            </w:tcBorders>
            <w:vAlign w:val="center"/>
          </w:tcPr>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重</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点</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医</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嘱</w:t>
            </w:r>
          </w:p>
        </w:tc>
        <w:tc>
          <w:tcPr>
            <w:tcW w:w="1669" w:type="pct"/>
            <w:tcBorders>
              <w:top w:val="single" w:color="auto" w:sz="8" w:space="0"/>
              <w:left w:val="single" w:color="auto" w:sz="8" w:space="0"/>
              <w:bottom w:val="single" w:color="auto" w:sz="8" w:space="0"/>
              <w:right w:val="single" w:color="auto" w:sz="8" w:space="0"/>
            </w:tcBorders>
          </w:tcPr>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长期医嘱:</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内科护理常规</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三级护理</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清淡饮食</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监测生命体征</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抗生素治疗</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临时医嘱:</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血常规、超敏 CRP</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尿常规、大便常规</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肝肾功能、电解质、血糖、</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血脂、凝血功能</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感染性疾病筛查(酌情)</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泌尿系 B 超</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胸 CT 或胸片</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心电图</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腹部 CT(必要时)</w:t>
            </w: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支持、对症治疗</w:t>
            </w:r>
          </w:p>
        </w:tc>
        <w:tc>
          <w:tcPr>
            <w:tcW w:w="1480" w:type="pct"/>
            <w:tcBorders>
              <w:top w:val="single" w:color="auto" w:sz="8" w:space="0"/>
              <w:left w:val="single" w:color="auto" w:sz="8" w:space="0"/>
              <w:bottom w:val="single" w:color="auto" w:sz="8" w:space="0"/>
              <w:right w:val="single" w:color="auto" w:sz="8" w:space="0"/>
            </w:tcBorders>
          </w:tcPr>
          <w:p>
            <w:pPr>
              <w:widowControl/>
              <w:tabs>
                <w:tab w:val="left" w:pos="360"/>
              </w:tabs>
              <w:snapToGrid w:val="0"/>
              <w:spacing w:line="260" w:lineRule="exact"/>
              <w:ind w:left="357" w:hanging="357"/>
              <w:jc w:val="left"/>
              <w:rPr>
                <w:rFonts w:ascii="仿宋_GB2312" w:hAnsi="仿宋_GB2312" w:eastAsia="仿宋_GB2312" w:cs="仿宋_GB2312"/>
                <w:kern w:val="0"/>
                <w:szCs w:val="21"/>
              </w:rPr>
            </w:pP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p>
          <w:p>
            <w:pPr>
              <w:widowControl/>
              <w:tabs>
                <w:tab w:val="left" w:pos="360"/>
              </w:tabs>
              <w:snapToGrid w:val="0"/>
              <w:spacing w:line="260" w:lineRule="exact"/>
              <w:ind w:left="357" w:hanging="357"/>
              <w:jc w:val="left"/>
              <w:rPr>
                <w:rFonts w:ascii="仿宋_GB2312" w:hAnsi="仿宋_GB2312" w:eastAsia="仿宋_GB2312" w:cs="仿宋_GB2312"/>
                <w:kern w:val="0"/>
                <w:szCs w:val="21"/>
              </w:rPr>
            </w:pPr>
          </w:p>
          <w:p>
            <w:pPr>
              <w:widowControl/>
              <w:adjustRightInd w:val="0"/>
              <w:snapToGrid w:val="0"/>
              <w:spacing w:line="260" w:lineRule="exact"/>
              <w:jc w:val="left"/>
              <w:rPr>
                <w:rFonts w:ascii="仿宋_GB2312" w:hAnsi="仿宋_GB2312" w:eastAsia="仿宋_GB2312" w:cs="仿宋_GB2312"/>
                <w:kern w:val="0"/>
                <w:szCs w:val="21"/>
              </w:rPr>
            </w:pP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长期医嘱:</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内科护理常规</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三级护理</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清淡饮食</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抗生素</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基础疾病用药</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临时医嘱:</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复查异常化验结果</w:t>
            </w:r>
          </w:p>
          <w:p>
            <w:pPr>
              <w:widowControl/>
              <w:adjustRightInd w:val="0"/>
              <w:snapToGrid w:val="0"/>
              <w:spacing w:line="260" w:lineRule="exact"/>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 支持、对症治疗</w:t>
            </w:r>
          </w:p>
        </w:tc>
        <w:tc>
          <w:tcPr>
            <w:tcW w:w="1480" w:type="pct"/>
            <w:tcBorders>
              <w:top w:val="single" w:color="auto" w:sz="8" w:space="0"/>
              <w:left w:val="single" w:color="auto" w:sz="8" w:space="0"/>
              <w:bottom w:val="single" w:color="auto" w:sz="8" w:space="0"/>
              <w:right w:val="single" w:color="auto" w:sz="8" w:space="0"/>
            </w:tcBorders>
            <w:vAlign w:val="center"/>
          </w:tcPr>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长期医嘱:</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内科护理常规</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三级护理</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清淡饮食</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抗生素</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基础疾病用药</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临时医嘱:</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复查异常化验结果</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支持、对症治疗</w:t>
            </w:r>
          </w:p>
          <w:p>
            <w:pPr>
              <w:widowControl/>
              <w:adjustRightInd w:val="0"/>
              <w:snapToGrid w:val="0"/>
              <w:spacing w:line="260" w:lineRule="exact"/>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 出院医嘱</w:t>
            </w:r>
          </w:p>
          <w:p>
            <w:pPr>
              <w:widowControl/>
              <w:adjustRightInd w:val="0"/>
              <w:snapToGrid w:val="0"/>
              <w:spacing w:line="260" w:lineRule="exact"/>
              <w:rPr>
                <w:rFonts w:ascii="仿宋_GB2312" w:hAnsi="仿宋_GB2312" w:eastAsia="仿宋_GB2312" w:cs="仿宋_GB2312"/>
                <w:b/>
                <w:kern w:val="0"/>
                <w:szCs w:val="21"/>
              </w:rPr>
            </w:pPr>
            <w:r>
              <w:rPr>
                <w:rFonts w:hint="eastAsia" w:ascii="仿宋_GB2312" w:hAnsi="仿宋_GB2312" w:eastAsia="仿宋_GB2312" w:cs="仿宋_GB2312"/>
                <w:bCs/>
                <w:kern w:val="0"/>
                <w:szCs w:val="21"/>
              </w:rPr>
              <w:t>□ 出院带药(必要时)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371" w:type="pct"/>
            <w:tcBorders>
              <w:top w:val="single" w:color="auto" w:sz="8" w:space="0"/>
              <w:left w:val="single" w:color="auto" w:sz="8" w:space="0"/>
              <w:bottom w:val="single" w:color="auto" w:sz="8" w:space="0"/>
              <w:right w:val="single" w:color="auto" w:sz="8" w:space="0"/>
            </w:tcBorders>
            <w:vAlign w:val="center"/>
          </w:tcPr>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病情</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变异</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记录</w:t>
            </w:r>
          </w:p>
        </w:tc>
        <w:tc>
          <w:tcPr>
            <w:tcW w:w="1669" w:type="pct"/>
            <w:tcBorders>
              <w:top w:val="single" w:color="auto" w:sz="8" w:space="0"/>
              <w:left w:val="single" w:color="auto" w:sz="8" w:space="0"/>
              <w:bottom w:val="single" w:color="auto" w:sz="8" w:space="0"/>
              <w:right w:val="single" w:color="auto" w:sz="8" w:space="0"/>
            </w:tcBorders>
          </w:tcPr>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 □有,原因:</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1480" w:type="pct"/>
            <w:tcBorders>
              <w:top w:val="single" w:color="auto" w:sz="8" w:space="0"/>
              <w:left w:val="single" w:color="auto" w:sz="8" w:space="0"/>
              <w:bottom w:val="single" w:color="auto" w:sz="8" w:space="0"/>
              <w:right w:val="single" w:color="auto" w:sz="8" w:space="0"/>
            </w:tcBorders>
          </w:tcPr>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 □有,原因:</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1480" w:type="pct"/>
            <w:tcBorders>
              <w:top w:val="single" w:color="auto" w:sz="8" w:space="0"/>
              <w:left w:val="single" w:color="auto" w:sz="8" w:space="0"/>
              <w:bottom w:val="single" w:color="auto" w:sz="8" w:space="0"/>
              <w:right w:val="single" w:color="auto" w:sz="8" w:space="0"/>
            </w:tcBorders>
          </w:tcPr>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 □有,原因:</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p>
            <w:pPr>
              <w:widowControl/>
              <w:adjustRightInd w:val="0"/>
              <w:snapToGrid w:val="0"/>
              <w:spacing w:line="2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371" w:type="pct"/>
            <w:tcBorders>
              <w:top w:val="single" w:color="auto" w:sz="8" w:space="0"/>
              <w:left w:val="single" w:color="auto" w:sz="8" w:space="0"/>
              <w:bottom w:val="single" w:color="auto" w:sz="8" w:space="0"/>
              <w:right w:val="single" w:color="auto" w:sz="8" w:space="0"/>
            </w:tcBorders>
            <w:vAlign w:val="center"/>
          </w:tcPr>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医师</w:t>
            </w:r>
          </w:p>
          <w:p>
            <w:pPr>
              <w:widowControl/>
              <w:spacing w:line="2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签名</w:t>
            </w:r>
          </w:p>
        </w:tc>
        <w:tc>
          <w:tcPr>
            <w:tcW w:w="1669" w:type="pct"/>
            <w:tcBorders>
              <w:top w:val="single" w:color="auto" w:sz="8" w:space="0"/>
              <w:left w:val="single" w:color="auto" w:sz="8" w:space="0"/>
              <w:bottom w:val="single" w:color="auto" w:sz="8" w:space="0"/>
              <w:right w:val="single" w:color="auto" w:sz="8" w:space="0"/>
            </w:tcBorders>
          </w:tcPr>
          <w:p>
            <w:pPr>
              <w:widowControl/>
              <w:spacing w:line="260" w:lineRule="exact"/>
              <w:jc w:val="left"/>
              <w:rPr>
                <w:rFonts w:ascii="仿宋_GB2312" w:hAnsi="仿宋_GB2312" w:eastAsia="仿宋_GB2312" w:cs="仿宋_GB2312"/>
                <w:kern w:val="0"/>
                <w:szCs w:val="21"/>
              </w:rPr>
            </w:pPr>
          </w:p>
        </w:tc>
        <w:tc>
          <w:tcPr>
            <w:tcW w:w="1480" w:type="pct"/>
            <w:tcBorders>
              <w:top w:val="single" w:color="auto" w:sz="8" w:space="0"/>
              <w:left w:val="single" w:color="auto" w:sz="8" w:space="0"/>
              <w:bottom w:val="single" w:color="auto" w:sz="8" w:space="0"/>
              <w:right w:val="single" w:color="auto" w:sz="8" w:space="0"/>
            </w:tcBorders>
          </w:tcPr>
          <w:p>
            <w:pPr>
              <w:widowControl/>
              <w:spacing w:line="260" w:lineRule="exact"/>
              <w:jc w:val="left"/>
              <w:rPr>
                <w:rFonts w:ascii="仿宋_GB2312" w:hAnsi="仿宋_GB2312" w:eastAsia="仿宋_GB2312" w:cs="仿宋_GB2312"/>
                <w:kern w:val="0"/>
                <w:szCs w:val="21"/>
              </w:rPr>
            </w:pPr>
          </w:p>
        </w:tc>
        <w:tc>
          <w:tcPr>
            <w:tcW w:w="1480" w:type="pct"/>
            <w:tcBorders>
              <w:top w:val="single" w:color="auto" w:sz="8" w:space="0"/>
              <w:left w:val="single" w:color="auto" w:sz="8" w:space="0"/>
              <w:bottom w:val="single" w:color="auto" w:sz="8" w:space="0"/>
              <w:right w:val="single" w:color="auto" w:sz="8" w:space="0"/>
            </w:tcBorders>
          </w:tcPr>
          <w:p>
            <w:pPr>
              <w:widowControl/>
              <w:spacing w:line="260" w:lineRule="exact"/>
              <w:jc w:val="left"/>
              <w:rPr>
                <w:rFonts w:ascii="仿宋_GB2312" w:hAnsi="仿宋_GB2312" w:eastAsia="仿宋_GB2312" w:cs="仿宋_GB2312"/>
                <w:kern w:val="0"/>
                <w:szCs w:val="21"/>
              </w:rPr>
            </w:pPr>
          </w:p>
        </w:tc>
      </w:tr>
    </w:tbl>
    <w:p/>
    <w:p>
      <w:pPr>
        <w:adjustRightInd w:val="0"/>
        <w:snapToGrid w:val="0"/>
        <w:spacing w:line="400" w:lineRule="exact"/>
        <w:rPr>
          <w:rFonts w:hint="eastAsia" w:ascii="黑体" w:hAnsi="黑体" w:eastAsia="黑体" w:cs="方正小标宋简体"/>
          <w:bCs/>
          <w:color w:val="000000" w:themeColor="text1"/>
          <w:sz w:val="36"/>
          <w:szCs w:val="36"/>
        </w:rPr>
      </w:pPr>
    </w:p>
    <w:p>
      <w:pPr>
        <w:spacing w:line="400" w:lineRule="exact"/>
        <w:rPr>
          <w:rFonts w:hint="eastAsia" w:ascii="黑体" w:hAnsi="黑体" w:eastAsia="黑体" w:cs="方正小标宋简体"/>
          <w:bCs/>
          <w:color w:val="000000" w:themeColor="text1"/>
          <w:sz w:val="36"/>
          <w:szCs w:val="36"/>
        </w:rPr>
      </w:pPr>
    </w:p>
    <w:p>
      <w:pPr>
        <w:spacing w:line="400" w:lineRule="exact"/>
        <w:rPr>
          <w:rFonts w:hint="eastAsia" w:ascii="黑体" w:hAnsi="黑体" w:eastAsia="黑体" w:cs="方正小标宋简体"/>
          <w:bCs/>
          <w:color w:val="000000" w:themeColor="text1"/>
          <w:sz w:val="36"/>
          <w:szCs w:val="36"/>
        </w:rPr>
      </w:pPr>
    </w:p>
    <w:p>
      <w:pPr>
        <w:spacing w:line="400" w:lineRule="exact"/>
        <w:rPr>
          <w:rFonts w:hint="eastAsia" w:ascii="黑体" w:hAnsi="黑体" w:eastAsia="黑体" w:cs="方正小标宋简体"/>
          <w:bCs/>
          <w:color w:val="000000" w:themeColor="text1"/>
          <w:sz w:val="36"/>
          <w:szCs w:val="36"/>
        </w:rPr>
      </w:pPr>
    </w:p>
    <w:p>
      <w:pPr>
        <w:spacing w:line="400" w:lineRule="exact"/>
        <w:rPr>
          <w:rFonts w:ascii="黑体" w:hAnsi="黑体" w:eastAsia="黑体" w:cs="方正小标宋简体"/>
          <w:bCs/>
          <w:color w:val="000000" w:themeColor="text1"/>
          <w:sz w:val="36"/>
          <w:szCs w:val="36"/>
        </w:rPr>
      </w:pPr>
      <w:r>
        <w:rPr>
          <w:rFonts w:hint="eastAsia" w:ascii="黑体" w:hAnsi="黑体" w:eastAsia="黑体" w:cs="方正小标宋简体"/>
          <w:bCs/>
          <w:color w:val="000000" w:themeColor="text1"/>
          <w:sz w:val="36"/>
          <w:szCs w:val="36"/>
        </w:rPr>
        <w:t>8.</w:t>
      </w:r>
      <w:r>
        <w:rPr>
          <w:rFonts w:hint="eastAsia" w:ascii="黑体" w:hAnsi="黑体" w:eastAsia="黑体" w:cs="方正小标宋简体"/>
          <w:bCs/>
          <w:color w:val="000000" w:themeColor="text1"/>
          <w:sz w:val="36"/>
          <w:szCs w:val="36"/>
          <w:lang w:val="en-GB"/>
        </w:rPr>
        <w:t>急性肠胃炎</w:t>
      </w:r>
    </w:p>
    <w:p>
      <w:pPr>
        <w:spacing w:line="400" w:lineRule="exact"/>
        <w:jc w:val="center"/>
        <w:rPr>
          <w:rFonts w:ascii="仿宋_GB2312" w:hAnsi="方正小标宋简体" w:eastAsia="仿宋_GB2312" w:cs="方正小标宋简体"/>
          <w:b/>
          <w:color w:val="000000" w:themeColor="text1"/>
          <w:sz w:val="32"/>
          <w:szCs w:val="32"/>
          <w:lang w:val="en-GB"/>
        </w:rPr>
      </w:pPr>
    </w:p>
    <w:p>
      <w:pPr>
        <w:spacing w:line="400" w:lineRule="exact"/>
        <w:jc w:val="center"/>
        <w:rPr>
          <w:rFonts w:ascii="仿宋_GB2312" w:hAnsi="黑体" w:eastAsia="仿宋_GB2312" w:cs="方正小标宋简体"/>
          <w:b/>
          <w:bCs/>
          <w:color w:val="000000" w:themeColor="text1"/>
          <w:sz w:val="32"/>
          <w:szCs w:val="32"/>
        </w:rPr>
      </w:pPr>
      <w:r>
        <w:rPr>
          <w:rFonts w:hint="eastAsia" w:ascii="仿宋_GB2312" w:hAnsi="方正小标宋简体" w:eastAsia="仿宋_GB2312" w:cs="方正小标宋简体"/>
          <w:b/>
          <w:color w:val="000000" w:themeColor="text1"/>
          <w:sz w:val="32"/>
          <w:szCs w:val="32"/>
          <w:lang w:val="en-GB"/>
        </w:rPr>
        <w:t>一、临床路径标准治疗流程</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（一)适用对象</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第一诊断为急性胃肠炎（ICD-10：K52.905)</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（二）诊断依据</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根据《临床诊疗指南-消化系统疾病分册》（中华医学会编著，人民卫生出版社）</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1.典型症状：恶心、呕吐、腹痛、腹泻，部分可有发热。</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2.体征：中上腹、左下腹或全腹压痛，肠鸣音活跃。</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3.便常规：高倍视野可见白细胞、红细胞。</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4.血常规：白细胞总数升高，中性粒细胞比例升高。</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（三）治疗方案的选择</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根据《临床诊疗指南-消化系统疾病分册》（中华医学会编若，人民卫生出版社）</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1.去除病因，适当休息，清淡流质，半流质饮食，必要时适当禁食</w:t>
      </w:r>
    </w:p>
    <w:p>
      <w:pPr>
        <w:adjustRightInd w:val="0"/>
        <w:snapToGrid w:val="0"/>
        <w:spacing w:line="400" w:lineRule="exact"/>
        <w:ind w:firstLine="480"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color w:val="000000" w:themeColor="text1"/>
          <w:sz w:val="24"/>
          <w:lang w:val="en-GB"/>
        </w:rPr>
        <w:t>2.药物治疗：抑酸药（PPI或 H2RA）、胃肠粘膜保护剂：适当应用消化酶；细菌感染者给予抗生素治疗；腹痛明显者给予解痉药物；呕吐、腹泻剧烈者给予补充水电解质及对症治疗。</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（四）标准治疗日</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&gt;3天</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（五）进入路径标准</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1.第一诊断必须符合 ICD-10：K52.905 急性胃肠炎疾病编码:</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2.当患者同时具有其他疾病诊断，但在住院期间不需要特殊处理也不影响第一诊断的临床路径流程实施时，可以进入路径。</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（六）住院期间检查项目</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1.必要的检查项目：</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（1）血常规、尿常规、大便常规+潜血：</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（2）电解质、血糖：</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（3）心电图、腹部B超；</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2.根据患者情况可选择的检查项目：肾功能、胸片（CT）、大便培养+药敏</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（七）出院标准</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1.诊断明确。</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2.治疗后症状减轻或明显缓解。</w:t>
      </w:r>
    </w:p>
    <w:p>
      <w:pPr>
        <w:adjustRightInd w:val="0"/>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（八）退出、变异原因分析</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1.急性胃肠炎出现感染性休克时不进入本路径。</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2.老年人出现心肺脑等其他重要脏器病变，影响路径执行时，退出路径。</w:t>
      </w:r>
    </w:p>
    <w:p>
      <w:pPr>
        <w:adjustRightInd w:val="0"/>
        <w:snapToGrid w:val="0"/>
        <w:spacing w:line="400" w:lineRule="exact"/>
        <w:ind w:firstLine="480" w:firstLineChars="200"/>
        <w:rPr>
          <w:rFonts w:ascii="仿宋_GB2312" w:hAnsi="Times New Roman" w:eastAsia="仿宋_GB2312"/>
          <w:color w:val="000000" w:themeColor="text1"/>
          <w:sz w:val="24"/>
          <w:lang w:val="en-GB"/>
        </w:rPr>
      </w:pPr>
      <w:r>
        <w:rPr>
          <w:rFonts w:hint="eastAsia" w:ascii="仿宋_GB2312" w:hAnsi="仿宋_GB2312" w:eastAsia="仿宋_GB2312" w:cs="仿宋_GB2312"/>
          <w:color w:val="000000" w:themeColor="text1"/>
          <w:sz w:val="24"/>
          <w:lang w:val="en-GB"/>
        </w:rPr>
        <w:t>3.临床症状改善不明显，需要调整药物进一步治疗，导致住院时间延长，费用增加者。</w:t>
      </w:r>
    </w:p>
    <w:p>
      <w:pPr>
        <w:adjustRightInd w:val="0"/>
        <w:snapToGrid w:val="0"/>
        <w:spacing w:line="360" w:lineRule="auto"/>
        <w:ind w:firstLine="720" w:firstLineChars="225"/>
        <w:rPr>
          <w:rFonts w:ascii="黑体" w:hAnsi="宋体" w:eastAsia="黑体"/>
          <w:color w:val="000000" w:themeColor="text1"/>
          <w:sz w:val="32"/>
          <w:szCs w:val="32"/>
        </w:rPr>
        <w:sectPr>
          <w:pgSz w:w="11850" w:h="16838"/>
          <w:pgMar w:top="1134" w:right="1134" w:bottom="1134" w:left="1134" w:header="851" w:footer="992" w:gutter="0"/>
          <w:pgNumType w:fmt="numberInDash"/>
          <w:cols w:space="425" w:num="1"/>
          <w:docGrid w:type="lines" w:linePitch="312" w:charSpace="0"/>
        </w:sectPr>
      </w:pPr>
    </w:p>
    <w:p>
      <w:pPr>
        <w:adjustRightInd w:val="0"/>
        <w:snapToGrid w:val="0"/>
        <w:spacing w:line="400" w:lineRule="exact"/>
        <w:jc w:val="center"/>
        <w:rPr>
          <w:rFonts w:ascii="仿宋_GB2312" w:hAnsi="宋体" w:eastAsia="仿宋_GB2312"/>
          <w:b/>
          <w:color w:val="000000" w:themeColor="text1"/>
          <w:sz w:val="32"/>
          <w:szCs w:val="32"/>
        </w:rPr>
      </w:pPr>
      <w:r>
        <w:rPr>
          <w:rFonts w:hint="eastAsia" w:ascii="仿宋_GB2312" w:hAnsi="方正小标宋简体" w:eastAsia="仿宋_GB2312" w:cs="方正小标宋简体"/>
          <w:b/>
          <w:color w:val="000000" w:themeColor="text1"/>
          <w:sz w:val="32"/>
          <w:szCs w:val="32"/>
        </w:rPr>
        <w:t>二、急性肠胃炎日间病床临床路径表单</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适用对象：第一诊断为急性肠胃炎：（ICD-10：K52.905）</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tbl>
      <w:tblPr>
        <w:tblStyle w:val="11"/>
        <w:tblpPr w:leftFromText="180" w:rightFromText="180" w:vertAnchor="page" w:horzAnchor="margin" w:tblpXSpec="center" w:tblpY="3841"/>
        <w:tblOverlap w:val="never"/>
        <w:tblW w:w="10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631"/>
        <w:gridCol w:w="2952"/>
        <w:gridCol w:w="4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时间</w:t>
            </w:r>
          </w:p>
        </w:tc>
        <w:tc>
          <w:tcPr>
            <w:tcW w:w="2631" w:type="dxa"/>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（第1天）</w:t>
            </w:r>
          </w:p>
        </w:tc>
        <w:tc>
          <w:tcPr>
            <w:tcW w:w="2952" w:type="dxa"/>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（第2-3天）</w:t>
            </w:r>
          </w:p>
        </w:tc>
        <w:tc>
          <w:tcPr>
            <w:tcW w:w="4158" w:type="dxa"/>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（第4-5天）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主要</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工作</w:t>
            </w:r>
          </w:p>
        </w:tc>
        <w:tc>
          <w:tcPr>
            <w:tcW w:w="2631"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口询问病史和体格检查</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口完成病历书写等</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口开化验单及检查单</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口签署自费药品同意书</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口医患沟通及知情同意</w:t>
            </w:r>
          </w:p>
        </w:tc>
        <w:tc>
          <w:tcPr>
            <w:tcW w:w="2952"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口上级医师查房，完成上级医师查房记录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口评估辅助检查结果，分析病因</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口向患者及家属介绍病情</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口根据病情调整治疗方案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口评价神经功能状态</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口必要时相应科室会诊</w:t>
            </w:r>
          </w:p>
        </w:tc>
        <w:tc>
          <w:tcPr>
            <w:tcW w:w="4158"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口上级医师查房，完成上级医师查房记录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口根据患者病情调整诊断和治疗方案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口评价神经功能状态</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口根据患者病情及辅助检查结果等，决定是否请外科或介入科会诊</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口记录会诊意见</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必要时向患者及家属介绍病情变化及相关检查结果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重点</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医嘱</w:t>
            </w:r>
          </w:p>
        </w:tc>
        <w:tc>
          <w:tcPr>
            <w:tcW w:w="2631"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长期医嘱：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口内科护理常规</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口一级护理、二级护理</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口清淡流食口抑酸药物</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口胃肠黏膜保护剂</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口止泻、调节肠道菌群</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口根据病情补液治疗</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口抗生素（必要时）</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口血+CRP、尿、粪便常规、粪便培养</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口生化（肝肾功能、血糖、电解质）</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口心电图、腹部CT</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口解痉药物</w:t>
            </w:r>
          </w:p>
        </w:tc>
        <w:tc>
          <w:tcPr>
            <w:tcW w:w="2952"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长期医啊：</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口内科护理常规</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口二级护理、三级护理</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口清淡饮食</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口抑酸药物</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口胃粘膜保护剂治疗</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口止泻、调节肠道菌群</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口抗生素（必要时)</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口补液、补电留质治疗</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口复查血常规+CRP，粪便常规、隐血等异常指标</w:t>
            </w:r>
          </w:p>
        </w:tc>
        <w:tc>
          <w:tcPr>
            <w:tcW w:w="4158"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长期医嘱：（检查后）</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口急性胃肠炎日常护理</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口清淡饮食</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临时医嘱：</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口今日出院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退出</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变异</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记录</w:t>
            </w:r>
          </w:p>
        </w:tc>
        <w:tc>
          <w:tcPr>
            <w:tcW w:w="2631"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2952"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c>
          <w:tcPr>
            <w:tcW w:w="4158"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widowControl/>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1.</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护士</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签名</w:t>
            </w:r>
          </w:p>
        </w:tc>
        <w:tc>
          <w:tcPr>
            <w:tcW w:w="2631" w:type="dxa"/>
          </w:tcPr>
          <w:p>
            <w:pPr>
              <w:rPr>
                <w:rFonts w:ascii="仿宋_GB2312" w:hAnsi="仿宋_GB2312" w:eastAsia="仿宋_GB2312" w:cs="仿宋_GB2312"/>
                <w:b/>
                <w:bCs/>
                <w:color w:val="000000" w:themeColor="text1"/>
                <w:szCs w:val="21"/>
              </w:rPr>
            </w:pPr>
          </w:p>
        </w:tc>
        <w:tc>
          <w:tcPr>
            <w:tcW w:w="2952" w:type="dxa"/>
          </w:tcPr>
          <w:p>
            <w:pPr>
              <w:rPr>
                <w:rFonts w:ascii="仿宋_GB2312" w:hAnsi="仿宋_GB2312" w:eastAsia="仿宋_GB2312" w:cs="仿宋_GB2312"/>
                <w:color w:val="000000" w:themeColor="text1"/>
                <w:szCs w:val="21"/>
              </w:rPr>
            </w:pPr>
          </w:p>
        </w:tc>
        <w:tc>
          <w:tcPr>
            <w:tcW w:w="4158" w:type="dxa"/>
          </w:tcPr>
          <w:p>
            <w:pPr>
              <w:rPr>
                <w:rFonts w:ascii="仿宋_GB2312" w:hAnsi="仿宋_GB2312" w:eastAsia="仿宋_GB2312" w:cs="仿宋_GB2312"/>
                <w:b/>
                <w:bCs/>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9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医师</w:t>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签名</w:t>
            </w:r>
          </w:p>
        </w:tc>
        <w:tc>
          <w:tcPr>
            <w:tcW w:w="2631" w:type="dxa"/>
          </w:tcPr>
          <w:p>
            <w:pPr>
              <w:rPr>
                <w:rFonts w:ascii="仿宋_GB2312" w:hAnsi="仿宋_GB2312" w:eastAsia="仿宋_GB2312" w:cs="仿宋_GB2312"/>
                <w:color w:val="000000" w:themeColor="text1"/>
                <w:szCs w:val="21"/>
              </w:rPr>
            </w:pPr>
          </w:p>
        </w:tc>
        <w:tc>
          <w:tcPr>
            <w:tcW w:w="2952" w:type="dxa"/>
          </w:tcPr>
          <w:p>
            <w:pPr>
              <w:rPr>
                <w:rFonts w:ascii="仿宋_GB2312" w:hAnsi="仿宋_GB2312" w:eastAsia="仿宋_GB2312" w:cs="仿宋_GB2312"/>
                <w:color w:val="000000" w:themeColor="text1"/>
                <w:szCs w:val="21"/>
              </w:rPr>
            </w:pPr>
          </w:p>
        </w:tc>
        <w:tc>
          <w:tcPr>
            <w:tcW w:w="4158" w:type="dxa"/>
          </w:tcPr>
          <w:p>
            <w:pPr>
              <w:rPr>
                <w:rFonts w:ascii="仿宋_GB2312" w:hAnsi="仿宋_GB2312" w:eastAsia="仿宋_GB2312" w:cs="仿宋_GB2312"/>
                <w:color w:val="000000" w:themeColor="text1"/>
                <w:szCs w:val="21"/>
              </w:rPr>
            </w:pPr>
          </w:p>
        </w:tc>
      </w:tr>
    </w:tbl>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标准住院日：≥3天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p>
      <w:pPr>
        <w:spacing w:line="400" w:lineRule="exact"/>
        <w:rPr>
          <w:rFonts w:ascii="方正小标宋简体" w:hAnsi="方正小标宋简体" w:eastAsia="方正小标宋简体" w:cs="方正小标宋简体"/>
          <w:bCs/>
          <w:color w:val="000000" w:themeColor="text1"/>
          <w:sz w:val="36"/>
          <w:szCs w:val="36"/>
        </w:rPr>
      </w:pPr>
    </w:p>
    <w:p>
      <w:pPr>
        <w:spacing w:line="400" w:lineRule="exact"/>
        <w:rPr>
          <w:rFonts w:ascii="黑体" w:hAnsi="黑体" w:eastAsia="黑体" w:cs="方正小标宋简体"/>
          <w:bCs/>
          <w:color w:val="000000" w:themeColor="text1"/>
          <w:sz w:val="36"/>
          <w:szCs w:val="36"/>
          <w:lang w:val="en-GB"/>
        </w:rPr>
      </w:pPr>
      <w:r>
        <w:rPr>
          <w:rFonts w:hint="eastAsia" w:ascii="黑体" w:hAnsi="黑体" w:eastAsia="黑体" w:cs="方正小标宋简体"/>
          <w:bCs/>
          <w:color w:val="000000" w:themeColor="text1"/>
          <w:sz w:val="36"/>
          <w:szCs w:val="36"/>
        </w:rPr>
        <w:t>9.</w:t>
      </w:r>
      <w:r>
        <w:rPr>
          <w:rFonts w:hint="eastAsia" w:ascii="黑体" w:hAnsi="黑体" w:eastAsia="黑体" w:cs="方正小标宋简体"/>
          <w:bCs/>
          <w:color w:val="000000" w:themeColor="text1"/>
          <w:sz w:val="36"/>
          <w:szCs w:val="36"/>
          <w:lang w:val="en-GB"/>
        </w:rPr>
        <w:t>女性盆腔炎</w:t>
      </w:r>
    </w:p>
    <w:p>
      <w:pPr>
        <w:spacing w:line="400" w:lineRule="exact"/>
        <w:jc w:val="center"/>
        <w:rPr>
          <w:rFonts w:ascii="仿宋_GB2312" w:hAnsi="方正小标宋简体" w:eastAsia="仿宋_GB2312" w:cs="方正小标宋简体"/>
          <w:b/>
          <w:color w:val="000000" w:themeColor="text1"/>
          <w:sz w:val="32"/>
          <w:szCs w:val="32"/>
          <w:lang w:val="en-GB"/>
        </w:rPr>
      </w:pPr>
    </w:p>
    <w:p>
      <w:pPr>
        <w:spacing w:line="400" w:lineRule="exact"/>
        <w:jc w:val="center"/>
        <w:rPr>
          <w:rFonts w:ascii="仿宋_GB2312" w:hAnsi="黑体" w:eastAsia="仿宋_GB2312" w:cs="方正小标宋简体"/>
          <w:b/>
          <w:bCs/>
          <w:color w:val="000000" w:themeColor="text1"/>
          <w:sz w:val="32"/>
          <w:szCs w:val="32"/>
          <w:lang w:val="en-GB"/>
        </w:rPr>
      </w:pPr>
      <w:r>
        <w:rPr>
          <w:rFonts w:hint="eastAsia" w:ascii="仿宋_GB2312" w:hAnsi="方正小标宋简体" w:eastAsia="仿宋_GB2312" w:cs="方正小标宋简体"/>
          <w:b/>
          <w:color w:val="000000" w:themeColor="text1"/>
          <w:sz w:val="32"/>
          <w:szCs w:val="32"/>
          <w:lang w:val="en-GB"/>
        </w:rPr>
        <w:t>一、临床路径标准治疗流程</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（一）适用对象</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第一诊断为盆腔炎（</w:t>
      </w:r>
      <w:r>
        <w:rPr>
          <w:rFonts w:hint="eastAsia" w:ascii="仿宋_GB2312" w:hAnsi="仿宋_GB2312" w:eastAsia="仿宋_GB2312" w:cs="仿宋_GB2312"/>
          <w:color w:val="000000" w:themeColor="text1"/>
          <w:sz w:val="24"/>
        </w:rPr>
        <w:t>ICD-10：N73.902</w:t>
      </w:r>
      <w:r>
        <w:rPr>
          <w:rFonts w:hint="eastAsia" w:ascii="仿宋_GB2312" w:hAnsi="仿宋_GB2312" w:eastAsia="仿宋_GB2312" w:cs="仿宋_GB2312"/>
          <w:color w:val="000000" w:themeColor="text1"/>
          <w:sz w:val="24"/>
          <w:lang w:val="en-GB"/>
        </w:rPr>
        <w:t>）</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(二）诊断依据</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根据临床指南:《盆腔炎症性疾病诊治规范（2019修订版）》中华医学会妇产科学分会感染性疾病协作组</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1.症状和体征</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（1）常有下腹疼痛、阴道分泌物增多、发热；</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（2）发热前可先有寒战，头痛，体温可高达39</w:t>
      </w:r>
      <w:r>
        <w:rPr>
          <w:rFonts w:hint="eastAsia" w:ascii="仿宋_GB2312" w:hAnsi="仿宋_GB2312" w:eastAsia="仿宋_GB2312" w:cs="仿宋_GB2312"/>
          <w:color w:val="000000" w:themeColor="text1"/>
          <w:sz w:val="24"/>
        </w:rPr>
        <w:t>-</w:t>
      </w:r>
      <w:r>
        <w:rPr>
          <w:rFonts w:hint="eastAsia" w:ascii="仿宋_GB2312" w:hAnsi="仿宋_GB2312" w:eastAsia="仿宋_GB2312" w:cs="仿宋_GB2312"/>
          <w:color w:val="000000" w:themeColor="text1"/>
          <w:sz w:val="24"/>
          <w:lang w:val="en-GB"/>
        </w:rPr>
        <w:t>40℃；</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（3）下腹痛为双侧或病变侧痛，可伴有月经量增多及经期延长，也可有阴道不规则出血</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（4）由于炎症刺激，可有膀胱及直肠刺激症状如尿频、尿急、腹胀、腹泻等；</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（5）妇科检查见阴道充血，宫颈充血，阴道分泌物增多，有时带异味，宫颈举痛，双侧触及包块，压痛明显。</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2.辅助检查</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w:t>
      </w:r>
      <w:r>
        <w:rPr>
          <w:rFonts w:hint="eastAsia" w:ascii="仿宋_GB2312" w:hAnsi="仿宋_GB2312" w:eastAsia="仿宋_GB2312" w:cs="仿宋_GB2312"/>
          <w:color w:val="000000" w:themeColor="text1"/>
          <w:sz w:val="24"/>
        </w:rPr>
        <w:t>1</w:t>
      </w:r>
      <w:r>
        <w:rPr>
          <w:rFonts w:hint="eastAsia" w:ascii="仿宋_GB2312" w:hAnsi="仿宋_GB2312" w:eastAsia="仿宋_GB2312" w:cs="仿宋_GB2312"/>
          <w:color w:val="000000" w:themeColor="text1"/>
          <w:sz w:val="24"/>
          <w:lang w:val="en-GB"/>
        </w:rPr>
        <w:t>）C反应蛋白升高；</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（2）血沉增快（&gt;20mm/h）；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（3）白细总数升高，中性粒细胞比例增加；</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（4）阴道分泌物培养或涂片检查多可找到致病菌；</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（5）B超检查发现盆腔炎性包块。</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（三）进入路径标准</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1.第一诊断必须符合女性盆腔炎。</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2.当患者同时具有其他疾病诊断，但在女性盆腔炎治疗期间不需要特殊处理也不影响急性宫颈炎的临床径流程实施时，可以进入路径。</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（四）治疗原则</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1.支持治疗：半卧位，物理降温，高热量、高蛋白饮食。</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2.药物治疗：可选用头孢类、大环内酯类、氨基糖昔类、诺酮类。</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3.手术治疗：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（1）手术适应症：盆腔炎或盆腔脓肿经药物治疗48</w:t>
      </w:r>
      <w:r>
        <w:rPr>
          <w:rFonts w:hint="eastAsia" w:ascii="仿宋_GB2312" w:hAnsi="仿宋_GB2312" w:eastAsia="仿宋_GB2312" w:cs="仿宋_GB2312"/>
          <w:color w:val="000000" w:themeColor="text1"/>
          <w:sz w:val="24"/>
        </w:rPr>
        <w:t>-</w:t>
      </w:r>
      <w:r>
        <w:rPr>
          <w:rFonts w:hint="eastAsia" w:ascii="仿宋_GB2312" w:hAnsi="仿宋_GB2312" w:eastAsia="仿宋_GB2312" w:cs="仿宋_GB2312"/>
          <w:color w:val="000000" w:themeColor="text1"/>
          <w:sz w:val="24"/>
          <w:lang w:val="en-GB"/>
        </w:rPr>
        <w:t>72小时，体温持续不降，中毒症状加重，包块增大，脓肿持续存在；脓肿破裂；有反复急性发作史而非手术治疗效果不佳者，建议转上级医院手术治疗。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（2）手术方式：经腹手术或腹腔镜手术，现在多采用腹腔镜手术。原则上场除病灶，年轻的患者保留卵巢。</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4.物理治疗：适用于慢性炎症，可促进盆腔组织局部血液循环，以利于炎症的吸收与消退。</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 xml:space="preserve">5.中药治疗：活血化瘀，清热解毒。 </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 xml:space="preserve">（五）治疗方案的选择及依据 </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依据《盆腔炎症性疾病诊治规范（2019修订版）》中华医学会妇产科学分会感染性疾病协作组</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一、治疗原则。以抗菌药物治疗为主，正确、规范使用抗菌药物可使90%以上的盆腔炎患者治愈，必要时行手术治疗。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1.治疗时应注意：根据经验选择广谱抗菌药物覆盖可能的病原体，包括淋病奈瑟菌、沙眼衣原体、支原体、厌氧菌和需氧菌等。</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2.诊断后立即开始治疗，及时、合理地应用抗菌药物与远期预后直接相关。</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3.选择治疗方案时，应综合考虑安全、有效、经济以及患者依从性等因素。</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给药方法：根据盆腔炎的严重程度决定静脉给药或非静脉给药以及是否需要住院治疗。以下情况可以考虑住院治疗：不除外需急诊手术者，输卵管卵巢脓肿者，妊娠者，眩晕、呕吐、高热者，依从性差、药物耐受性差者。抗菌药物治疗至少持续14 d（以下方案中无特别注明者，均为14 d的疗程）。</w:t>
      </w:r>
    </w:p>
    <w:p>
      <w:pPr>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二、治疗方法</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rPr>
        <w:t>1.</w:t>
      </w:r>
      <w:r>
        <w:rPr>
          <w:rFonts w:hint="eastAsia" w:ascii="仿宋_GB2312" w:hAnsi="仿宋_GB2312" w:eastAsia="仿宋_GB2312" w:cs="仿宋_GB2312"/>
          <w:color w:val="000000" w:themeColor="text1"/>
          <w:sz w:val="24"/>
          <w:lang w:val="en-GB"/>
        </w:rPr>
        <w:t>一般治疗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（1）卧床休息，半卧位，使脓液积聚于子宫直肠陷凹。</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（2）给予高热量、高蛋白、高维生素流食或半流食，补充水分，纠正水、电解质紊乱，必要时少量血。</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（3）高热采用物理降温，腹胀需行胃肠减压。</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（4）避免不必要的妇科检查，以免炎症扩散。</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（5）重症病例应严密观察，以便及时发现感染性休克。</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2.抗感染治疗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最好根据药敏试验选用抗感染药物，但通常需在实验室检查结果出来之前即开始治疗。因此，往往根验选择抗感染药物。由于女性盆腔炎常为需氧菌、厌氧菌及衣原体等的混合感染，故常需联合应用抗菌药，覆盖需氧菌、菌及衣原体等。抗感染治疗2-3日后，如疗效肯定，即使与药敏不符亦不必更换抗菌药。如疗效不显或病情重，可根据药敏改用相应的抗感染药物。</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rPr>
        <w:t>3.</w:t>
      </w:r>
      <w:r>
        <w:rPr>
          <w:rFonts w:hint="eastAsia" w:ascii="仿宋_GB2312" w:hAnsi="仿宋_GB2312" w:eastAsia="仿宋_GB2312" w:cs="仿宋_GB2312"/>
          <w:color w:val="000000" w:themeColor="text1"/>
          <w:sz w:val="24"/>
          <w:lang w:val="en-GB"/>
        </w:rPr>
        <w:t>抗菌药物治疗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rPr>
        <w:t>1.</w:t>
      </w:r>
      <w:r>
        <w:rPr>
          <w:rFonts w:hint="eastAsia" w:ascii="仿宋_GB2312" w:hAnsi="仿宋_GB2312" w:eastAsia="仿宋_GB2312" w:cs="仿宋_GB2312"/>
          <w:color w:val="000000" w:themeColor="text1"/>
          <w:sz w:val="24"/>
          <w:lang w:val="en-GB"/>
        </w:rPr>
        <w:t>静脉给药A 方案</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（1）β‐内酰胺类抗菌药物：二代头孢菌素或三代头孢菌素类、头霉素类、氧头孢烯类抗菌药物，静脉滴注，如头孢替坦2 g，静脉滴注，1次/12 h；或头孢西丁2 g，静脉滴注，1次/6 h；或头孢曲松 1 g，静脉滴注，1次/24 h。      如所选药物不覆盖厌氧菌，需加用硝基咪唑类药物，如甲硝唑0.5 g，静脉滴注，1次/12 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（2）为覆盖非典型病原微生物，需加用多西环素 0.1 g，口服，1 次/12 h；或米诺环素 0.1 g，口服，1次/12 h；或阿奇霉素0.5 g，静脉滴注或口服，1次/d，静脉滴注1~2 d后改为口服0.25 g，1次/d，5~7 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2.静脉给药B方案：以喹诺酮类抗菌药物为主。</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（1）喹诺酮类抗菌药物：氧氟沙星0.4 g，静脉滴注，1次/12 h；或左氧氟沙星0.5 g，静脉滴注，1次/d。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（2）为覆盖厌氧菌，需加用硝基咪唑类药物，如甲硝唑0.5 g，静脉滴注，1次/12 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3.静脉给药C方案：以β‐内酰胺类+酶抑制剂类联合抗菌药物为主。</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（1）β‐内酰胺类+酶抑制剂类联合抗菌药物：氨苄西林‐舒巴坦 3 g，静脉滴注，1 次/6 h；或阿莫西林‐克拉维酸1.2 g，静脉滴注，1次（/ 6~8）h；哌拉西林‐他唑巴坦4.5 g，静脉滴注，1次/8 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（2）为覆盖厌氧菌，需加用硝基咪唑类药物，如甲硝唑0.5 g，静脉滴注，1次/12 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（3）为覆盖非典型病原微生物，需加用多西环素0.1 g，口服，1次/12 h，至少14 d；或米诺环素0.1 g，口服，1次/12 h，至少14 d；或阿奇霉素0.5 g，静脉滴注或口服，1 次/d，1~2 d 后改为口服 0.25 g，1 次/d，5~7 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 静脉给药D方案：克林霉素0.9 g，静脉滴注，1次/8 h，加用：庆大霉素，首次负荷剂量2 mg/kg，静脉滴注或肌内注射，维持剂量1.5 mg/kg，1次/8 h。</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rPr>
        <w:t>4.</w:t>
      </w:r>
      <w:r>
        <w:rPr>
          <w:rFonts w:hint="eastAsia" w:ascii="仿宋_GB2312" w:hAnsi="仿宋_GB2312" w:eastAsia="仿宋_GB2312" w:cs="仿宋_GB2312"/>
          <w:color w:val="000000" w:themeColor="text1"/>
          <w:sz w:val="24"/>
          <w:lang w:val="en-GB"/>
        </w:rPr>
        <w:t>非静脉药物治疗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（1）β‐内酰胺类抗菌药物：头孢曲松250 mg，肌内注射，单次给药；或头孢西丁2 g，肌内注射，单次给药。之后，改为其他二代或三代头孢菌素类药物，例如头孢唑肟、头孢噻肟等，口服给药，至少14 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（2）如所选药物不覆盖厌氧菌，需加用硝基咪唑类药物0.5 g，口服，1次/d；加用甲硝唑0.4 g，口服，2次/d。 （</w:t>
      </w:r>
      <w:r>
        <w:rPr>
          <w:rFonts w:hint="eastAsia" w:ascii="仿宋_GB2312" w:hAnsi="仿宋_GB2312" w:eastAsia="仿宋_GB2312" w:cs="仿宋_GB2312"/>
          <w:color w:val="000000" w:themeColor="text1"/>
          <w:sz w:val="24"/>
        </w:rPr>
        <w:t>3</w:t>
      </w:r>
      <w:r>
        <w:rPr>
          <w:rFonts w:hint="eastAsia" w:ascii="仿宋_GB2312" w:hAnsi="仿宋_GB2312" w:eastAsia="仿宋_GB2312" w:cs="仿宋_GB2312"/>
          <w:color w:val="000000" w:themeColor="text1"/>
          <w:sz w:val="24"/>
          <w:lang w:val="en-GB"/>
        </w:rPr>
        <w:t>）莫西沙星0.4 g，口服，1次/d。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给药注意事项：</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1.静脉给药治疗者应在临床症状改善后继续静脉给药至少24 h，然后转为口服药物治疗，总治疗时间至少持续14 d。</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2.如确诊为淋病奈瑟菌感染，首选静脉给药A方案或非静脉给药A方案，对于选择非三代头孢菌素类药物者应加用针对淋病奈瑟菌的药物。</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3.选择静脉给药D方案者，应密切注意药物的耳、肾毒性。此外，有报告克林霉素和庆大霉素联用偶出现严重神经系统不良事件。</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4.药物治疗持续72 h无明显改善者应重新评估，确认诊断并调整治疗方案。</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三、手术治疗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1.紧急手术：</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（1）药物治疗无效：输卵管卵巢脓肿或盆腔脓肿经药物治疗48~72 h，体温持续不降、感染中毒症状未改善或包块增大者，应及时手术。</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 xml:space="preserve">（2）脓肿破裂：腹痛突然加剧，寒战、高热、恶心、呕吐、腹胀，检查腹部拒按或有感染中毒性休克表现，应怀疑脓肿破裂。若脓肿破裂未及时诊治，死亡率高。因此，一旦怀疑脓肿破裂，需立即在抗菌药物治疗的同时行手术探查。                         2.择期手术：经药物治疗2周以上，包块持续存在或增大，可择期手术治疗。手术可根据情况选择开腹手术或腹腔镜手术。若盆腔脓肿位置低、突向阴道后穹隆时，可经阴道切开引流。超声引导下脓肿穿刺引流术也在临床开展应用。手术范围应根据病变范围、患者年龄、一般状况等全面考虑。原则以切除病灶为主。年轻妇女应尽量保留卵巢功能；年龄大、双侧附件受累或附件脓肿屡次发作者，行子宫全切除术及双附件切除术；对极度衰弱的危重患者须按具体情况决定手术范围。 </w:t>
      </w:r>
    </w:p>
    <w:p>
      <w:pPr>
        <w:adjustRightInd w:val="0"/>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四、中医中药及物理治疗。在抗菌药物的基础上辅以康妇消炎栓、桂枝茯苓胺囊、红花如意丸可以减少慢性盆腔痛后遗症的发生。</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(六)标准住院日</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5～10天</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(七)住院期间检查项目</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入院后1</w:t>
      </w:r>
      <w:r>
        <w:rPr>
          <w:rFonts w:hint="eastAsia" w:ascii="仿宋_GB2312" w:hAnsi="仿宋_GB2312" w:eastAsia="仿宋_GB2312" w:cs="仿宋_GB2312"/>
          <w:color w:val="000000" w:themeColor="text1"/>
          <w:sz w:val="24"/>
        </w:rPr>
        <w:t>-</w:t>
      </w:r>
      <w:r>
        <w:rPr>
          <w:rFonts w:hint="eastAsia" w:ascii="仿宋_GB2312" w:hAnsi="仿宋_GB2312" w:eastAsia="仿宋_GB2312" w:cs="仿宋_GB2312"/>
          <w:color w:val="000000" w:themeColor="text1"/>
          <w:sz w:val="24"/>
          <w:lang w:val="en-GB"/>
        </w:rPr>
        <w:t>3天</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1.必须的检查项目：</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w:t>
      </w:r>
      <w:r>
        <w:rPr>
          <w:rFonts w:hint="eastAsia" w:ascii="仿宋_GB2312" w:hAnsi="仿宋_GB2312" w:eastAsia="仿宋_GB2312" w:cs="仿宋_GB2312"/>
          <w:color w:val="000000" w:themeColor="text1"/>
          <w:sz w:val="24"/>
        </w:rPr>
        <w:t>1</w:t>
      </w:r>
      <w:r>
        <w:rPr>
          <w:rFonts w:hint="eastAsia" w:ascii="仿宋_GB2312" w:hAnsi="仿宋_GB2312" w:eastAsia="仿宋_GB2312" w:cs="仿宋_GB2312"/>
          <w:color w:val="000000" w:themeColor="text1"/>
          <w:sz w:val="24"/>
          <w:lang w:val="en-GB"/>
        </w:rPr>
        <w:t>）血常规、尿常规、大便常规；</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（2）肝肾功能、电解质、血沉、C反应蛋白（没有条件的医院 可不做）、感染性疾病筛查（乙肝、丙肝、梅毒、艾滋病等）；</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（3）阴道分泌物病原学检查；</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2.根据患者病情进行：心电图、胸片。</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（八）出院标准</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1.症状明显缓解。</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w:t>
      </w:r>
      <w:r>
        <w:rPr>
          <w:rFonts w:hint="eastAsia" w:ascii="仿宋_GB2312" w:hAnsi="仿宋_GB2312" w:eastAsia="仿宋_GB2312" w:cs="仿宋_GB2312"/>
          <w:color w:val="000000" w:themeColor="text1"/>
          <w:sz w:val="24"/>
        </w:rPr>
        <w:t>.</w:t>
      </w:r>
      <w:r>
        <w:rPr>
          <w:rFonts w:hint="eastAsia" w:ascii="仿宋_GB2312" w:hAnsi="仿宋_GB2312" w:eastAsia="仿宋_GB2312" w:cs="仿宋_GB2312"/>
          <w:color w:val="000000" w:themeColor="text1"/>
          <w:sz w:val="24"/>
          <w:lang w:val="en-GB"/>
        </w:rPr>
        <w:t>体温正常48</w:t>
      </w:r>
      <w:r>
        <w:rPr>
          <w:rFonts w:hint="eastAsia" w:ascii="仿宋_GB2312" w:hAnsi="仿宋_GB2312" w:eastAsia="仿宋_GB2312" w:cs="仿宋_GB2312"/>
          <w:color w:val="000000" w:themeColor="text1"/>
          <w:sz w:val="24"/>
        </w:rPr>
        <w:t>-</w:t>
      </w:r>
      <w:r>
        <w:rPr>
          <w:rFonts w:hint="eastAsia" w:ascii="仿宋_GB2312" w:hAnsi="仿宋_GB2312" w:eastAsia="仿宋_GB2312" w:cs="仿宋_GB2312"/>
          <w:color w:val="000000" w:themeColor="text1"/>
          <w:sz w:val="24"/>
          <w:lang w:val="en-GB"/>
        </w:rPr>
        <w:t>72小时。</w:t>
      </w:r>
    </w:p>
    <w:p>
      <w:pPr>
        <w:snapToGrid w:val="0"/>
        <w:spacing w:line="400" w:lineRule="exact"/>
        <w:ind w:firstLine="481" w:firstLineChars="200"/>
        <w:rPr>
          <w:rFonts w:ascii="仿宋_GB2312" w:hAnsi="仿宋_GB2312" w:eastAsia="仿宋_GB2312" w:cs="仿宋_GB2312"/>
          <w:b/>
          <w:color w:val="000000" w:themeColor="text1"/>
          <w:sz w:val="24"/>
          <w:lang w:val="en-GB"/>
        </w:rPr>
      </w:pPr>
      <w:r>
        <w:rPr>
          <w:rFonts w:hint="eastAsia" w:ascii="仿宋_GB2312" w:hAnsi="仿宋_GB2312" w:eastAsia="仿宋_GB2312" w:cs="仿宋_GB2312"/>
          <w:b/>
          <w:color w:val="000000" w:themeColor="text1"/>
          <w:sz w:val="24"/>
          <w:lang w:val="en-GB"/>
        </w:rPr>
        <w:t>（九）变异及原因分析</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1.出现并发症，需要进行相关的诊断和治疗。</w:t>
      </w:r>
    </w:p>
    <w:p>
      <w:pPr>
        <w:snapToGrid w:val="0"/>
        <w:spacing w:line="400" w:lineRule="exact"/>
        <w:ind w:firstLine="480" w:firstLineChars="200"/>
        <w:rPr>
          <w:rFonts w:ascii="仿宋_GB2312" w:hAnsi="仿宋_GB2312" w:eastAsia="仿宋_GB2312" w:cs="仿宋_GB2312"/>
          <w:color w:val="000000" w:themeColor="text1"/>
          <w:sz w:val="24"/>
          <w:lang w:val="en-GB"/>
        </w:rPr>
      </w:pPr>
      <w:r>
        <w:rPr>
          <w:rFonts w:hint="eastAsia" w:ascii="仿宋_GB2312" w:hAnsi="仿宋_GB2312" w:eastAsia="仿宋_GB2312" w:cs="仿宋_GB2312"/>
          <w:color w:val="000000" w:themeColor="text1"/>
          <w:sz w:val="24"/>
          <w:lang w:val="en-GB"/>
        </w:rPr>
        <w:t>2.病情严重需转上级医院治疗。</w:t>
      </w: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360" w:lineRule="auto"/>
        <w:ind w:firstLine="720" w:firstLineChars="225"/>
        <w:jc w:val="center"/>
        <w:rPr>
          <w:rFonts w:ascii="黑体" w:hAnsi="宋体" w:eastAsia="黑体"/>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p>
    <w:p>
      <w:pPr>
        <w:snapToGrid w:val="0"/>
        <w:spacing w:line="400" w:lineRule="exact"/>
        <w:jc w:val="center"/>
        <w:rPr>
          <w:rFonts w:ascii="仿宋_GB2312" w:hAnsi="方正小标宋简体" w:eastAsia="仿宋_GB2312" w:cs="方正小标宋简体"/>
          <w:b/>
          <w:color w:val="000000" w:themeColor="text1"/>
          <w:sz w:val="32"/>
          <w:szCs w:val="32"/>
          <w:lang w:val="en-GB"/>
        </w:rPr>
      </w:pPr>
      <w:r>
        <w:rPr>
          <w:rFonts w:hint="eastAsia" w:ascii="仿宋_GB2312" w:hAnsi="方正小标宋简体" w:eastAsia="仿宋_GB2312" w:cs="方正小标宋简体"/>
          <w:b/>
          <w:color w:val="000000" w:themeColor="text1"/>
          <w:sz w:val="32"/>
          <w:szCs w:val="32"/>
          <w:lang w:val="en-GB"/>
        </w:rPr>
        <w:t>二、女性盆腔炎日间病床临床路径表单</w:t>
      </w:r>
    </w:p>
    <w:p>
      <w:pPr>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w:t>
      </w:r>
      <w:r>
        <w:rPr>
          <w:rFonts w:hint="eastAsia" w:ascii="仿宋_GB2312" w:hAnsi="仿宋_GB2312" w:eastAsia="仿宋_GB2312" w:cs="仿宋_GB2312"/>
          <w:color w:val="000000" w:themeColor="text1"/>
          <w:kern w:val="0"/>
          <w:sz w:val="24"/>
        </w:rPr>
        <w:t>第一诊断为女性盆腔炎（ICD-10：N73.902）</w:t>
      </w:r>
      <w:r>
        <w:rPr>
          <w:rFonts w:hint="eastAsia" w:ascii="仿宋_GB2312" w:hAnsi="仿宋_GB2312" w:eastAsia="仿宋_GB2312" w:cs="仿宋_GB2312"/>
          <w:color w:val="000000" w:themeColor="text1"/>
          <w:sz w:val="24"/>
        </w:rPr>
        <w:t>；</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标准住院日：≥7天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0"/>
        <w:tblpPr w:leftFromText="180" w:rightFromText="180" w:vertAnchor="text" w:horzAnchor="margin" w:tblpXSpec="center" w:tblpY="192"/>
        <w:tblOverlap w:val="never"/>
        <w:tblW w:w="84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8"/>
        <w:gridCol w:w="3740"/>
        <w:gridCol w:w="37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978" w:type="dxa"/>
            <w:vAlign w:val="center"/>
          </w:tcPr>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日期</w:t>
            </w:r>
          </w:p>
        </w:tc>
        <w:tc>
          <w:tcPr>
            <w:tcW w:w="3740" w:type="dxa"/>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widowControl/>
              <w:snapToGrid w:val="0"/>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（第1-3天）</w:t>
            </w:r>
          </w:p>
        </w:tc>
        <w:tc>
          <w:tcPr>
            <w:tcW w:w="3772" w:type="dxa"/>
            <w:vAlign w:val="center"/>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widowControl/>
              <w:snapToGrid w:val="0"/>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（第4-10天）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8" w:hRule="atLeast"/>
        </w:trPr>
        <w:tc>
          <w:tcPr>
            <w:tcW w:w="978" w:type="dxa"/>
            <w:vAlign w:val="center"/>
          </w:tcPr>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主要</w:t>
            </w:r>
          </w:p>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诊疗</w:t>
            </w:r>
          </w:p>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工作</w:t>
            </w:r>
          </w:p>
        </w:tc>
        <w:tc>
          <w:tcPr>
            <w:tcW w:w="3740" w:type="dxa"/>
          </w:tcPr>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询问病史，完成体格检查</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完成首次病程记录及住院记录</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初步拟定综合治疗方案</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观察下腹痛、腰骶痛及白带情况</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与患者及家属沟通，交代病情及注意事项</w:t>
            </w:r>
          </w:p>
        </w:tc>
        <w:tc>
          <w:tcPr>
            <w:tcW w:w="3772" w:type="dxa"/>
          </w:tcPr>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完善辅助检查</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根据临床症状判断病情</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上级医师查房，根据病情调整治疗方案</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根据检查结果，并予相应处理</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观察下腹痛、腰骶痛及白带情况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0" w:hRule="atLeast"/>
        </w:trPr>
        <w:tc>
          <w:tcPr>
            <w:tcW w:w="978" w:type="dxa"/>
            <w:vAlign w:val="center"/>
          </w:tcPr>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重点</w:t>
            </w:r>
          </w:p>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医嘱</w:t>
            </w:r>
          </w:p>
        </w:tc>
        <w:tc>
          <w:tcPr>
            <w:tcW w:w="3740" w:type="dxa"/>
          </w:tcPr>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长期医嘱：</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妇科护理常规</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三级护理</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普食</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卧床休息</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抗生素静滨</w:t>
            </w:r>
          </w:p>
          <w:p>
            <w:pPr>
              <w:widowControl/>
              <w:tabs>
                <w:tab w:val="left" w:pos="360"/>
              </w:tabs>
              <w:snapToGrid w:val="0"/>
              <w:spacing w:line="260" w:lineRule="exact"/>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中医 中药治疗</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口红外光理疗</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临时医嘱：</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完善入院检查：</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妇科检查</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血常规、尿常规、大便常规 CRP</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出凝血时间</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血沉、肝功能、肾功能</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心电图、盆腔超声检查</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梅毒抗体、艾滋病抗体、乙肝两对半检测</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阴道分泌物检查及培养药敏</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宫颈管分泌物检测支原体、衣原体、淋球奈瑟菌</w:t>
            </w:r>
          </w:p>
          <w:p>
            <w:pPr>
              <w:widowControl/>
              <w:snapToGrid w:val="0"/>
              <w:spacing w:line="260" w:lineRule="exact"/>
              <w:jc w:val="left"/>
              <w:rPr>
                <w:rFonts w:ascii="仿宋_GB2312" w:hAnsi="仿宋_GB2312" w:eastAsia="仿宋_GB2312" w:cs="仿宋_GB2312"/>
                <w:color w:val="000000" w:themeColor="text1"/>
                <w:kern w:val="0"/>
                <w:szCs w:val="21"/>
              </w:rPr>
            </w:pPr>
          </w:p>
        </w:tc>
        <w:tc>
          <w:tcPr>
            <w:tcW w:w="3772" w:type="dxa"/>
          </w:tcPr>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长期医嘱：</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□妇科护理常规</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三级护理</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rPr>
              <w:t>普食</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□卧床休息</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kern w:val="0"/>
                <w:szCs w:val="21"/>
              </w:rPr>
              <w:t>□抗生素静滴</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szCs w:val="21"/>
              </w:rPr>
              <w:t>中医 中药治疗</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□红外光理疗</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临时医嘱：</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□对症处理</w:t>
            </w: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p>
          <w:p>
            <w:pPr>
              <w:widowControl/>
              <w:tabs>
                <w:tab w:val="left" w:pos="360"/>
              </w:tabs>
              <w:snapToGrid w:val="0"/>
              <w:spacing w:line="260" w:lineRule="exact"/>
              <w:ind w:left="357" w:hanging="357"/>
              <w:jc w:val="left"/>
              <w:rPr>
                <w:rFonts w:ascii="仿宋_GB2312" w:hAnsi="仿宋_GB2312" w:eastAsia="仿宋_GB2312" w:cs="仿宋_GB2312"/>
                <w:color w:val="000000" w:themeColor="text1"/>
                <w:kern w:val="0"/>
                <w:szCs w:val="21"/>
              </w:rPr>
            </w:pPr>
          </w:p>
          <w:p>
            <w:pPr>
              <w:widowControl/>
              <w:snapToGrid w:val="0"/>
              <w:spacing w:line="260" w:lineRule="exact"/>
              <w:jc w:val="left"/>
              <w:rPr>
                <w:rFonts w:ascii="仿宋_GB2312" w:hAnsi="仿宋_GB2312" w:eastAsia="仿宋_GB2312" w:cs="仿宋_GB2312"/>
                <w:b/>
                <w:bCs/>
                <w:color w:val="000000" w:themeColor="text1"/>
                <w:kern w:val="0"/>
                <w:szCs w:val="21"/>
              </w:rPr>
            </w:pPr>
          </w:p>
          <w:p>
            <w:pPr>
              <w:widowControl/>
              <w:snapToGrid w:val="0"/>
              <w:spacing w:line="260" w:lineRule="exact"/>
              <w:jc w:val="left"/>
              <w:rPr>
                <w:rFonts w:ascii="仿宋_GB2312" w:hAnsi="仿宋_GB2312" w:eastAsia="仿宋_GB2312" w:cs="仿宋_GB2312"/>
                <w:b/>
                <w:color w:val="000000" w:themeColor="text1"/>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1" w:hRule="atLeast"/>
        </w:trPr>
        <w:tc>
          <w:tcPr>
            <w:tcW w:w="978" w:type="dxa"/>
            <w:vAlign w:val="center"/>
          </w:tcPr>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护士</w:t>
            </w:r>
          </w:p>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3740" w:type="dxa"/>
          </w:tcPr>
          <w:p>
            <w:pPr>
              <w:widowControl/>
              <w:spacing w:line="260" w:lineRule="exact"/>
              <w:jc w:val="center"/>
              <w:rPr>
                <w:rFonts w:ascii="仿宋_GB2312" w:hAnsi="仿宋_GB2312" w:eastAsia="仿宋_GB2312" w:cs="仿宋_GB2312"/>
                <w:color w:val="000000" w:themeColor="text1"/>
                <w:kern w:val="0"/>
                <w:szCs w:val="21"/>
              </w:rPr>
            </w:pPr>
          </w:p>
        </w:tc>
        <w:tc>
          <w:tcPr>
            <w:tcW w:w="3772" w:type="dxa"/>
          </w:tcPr>
          <w:p>
            <w:pPr>
              <w:widowControl/>
              <w:spacing w:line="260" w:lineRule="exact"/>
              <w:jc w:val="center"/>
              <w:rPr>
                <w:rFonts w:ascii="仿宋_GB2312" w:hAnsi="仿宋_GB2312" w:eastAsia="仿宋_GB2312" w:cs="仿宋_GB2312"/>
                <w:color w:val="000000" w:themeColor="text1"/>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trPr>
        <w:tc>
          <w:tcPr>
            <w:tcW w:w="978" w:type="dxa"/>
            <w:vAlign w:val="center"/>
          </w:tcPr>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医师</w:t>
            </w:r>
          </w:p>
          <w:p>
            <w:pPr>
              <w:widowControl/>
              <w:spacing w:line="260" w:lineRule="exact"/>
              <w:jc w:val="center"/>
              <w:rPr>
                <w:rFonts w:ascii="仿宋_GB2312" w:hAnsi="仿宋_GB2312" w:eastAsia="仿宋_GB2312" w:cs="仿宋_GB2312"/>
                <w:color w:val="000000" w:themeColor="text1"/>
                <w:kern w:val="0"/>
                <w:szCs w:val="21"/>
              </w:rPr>
            </w:pPr>
            <w:r>
              <w:rPr>
                <w:rFonts w:hint="eastAsia" w:ascii="仿宋_GB2312" w:hAnsi="仿宋_GB2312" w:eastAsia="仿宋_GB2312" w:cs="仿宋_GB2312"/>
                <w:color w:val="000000" w:themeColor="text1"/>
                <w:kern w:val="0"/>
                <w:szCs w:val="21"/>
              </w:rPr>
              <w:t>签名</w:t>
            </w:r>
          </w:p>
        </w:tc>
        <w:tc>
          <w:tcPr>
            <w:tcW w:w="3740" w:type="dxa"/>
          </w:tcPr>
          <w:p>
            <w:pPr>
              <w:widowControl/>
              <w:spacing w:line="260" w:lineRule="exact"/>
              <w:jc w:val="left"/>
              <w:rPr>
                <w:rFonts w:ascii="仿宋_GB2312" w:hAnsi="仿宋_GB2312" w:eastAsia="仿宋_GB2312" w:cs="仿宋_GB2312"/>
                <w:color w:val="000000" w:themeColor="text1"/>
                <w:kern w:val="0"/>
                <w:szCs w:val="21"/>
              </w:rPr>
            </w:pPr>
          </w:p>
        </w:tc>
        <w:tc>
          <w:tcPr>
            <w:tcW w:w="3772" w:type="dxa"/>
          </w:tcPr>
          <w:p>
            <w:pPr>
              <w:widowControl/>
              <w:spacing w:line="260" w:lineRule="exact"/>
              <w:jc w:val="left"/>
              <w:rPr>
                <w:rFonts w:ascii="仿宋_GB2312" w:hAnsi="仿宋_GB2312" w:eastAsia="仿宋_GB2312" w:cs="仿宋_GB2312"/>
                <w:color w:val="000000" w:themeColor="text1"/>
                <w:kern w:val="0"/>
                <w:szCs w:val="21"/>
              </w:rPr>
            </w:pPr>
          </w:p>
        </w:tc>
      </w:tr>
    </w:tbl>
    <w:p>
      <w:pPr>
        <w:spacing w:line="400" w:lineRule="exact"/>
        <w:rPr>
          <w:rFonts w:hint="eastAsia" w:ascii="黑体" w:hAnsi="黑体" w:eastAsia="黑体" w:cs="方正小标宋简体"/>
          <w:bCs/>
          <w:color w:val="000000" w:themeColor="text1"/>
          <w:sz w:val="36"/>
          <w:szCs w:val="36"/>
        </w:rPr>
      </w:pPr>
    </w:p>
    <w:p>
      <w:pPr>
        <w:spacing w:line="400" w:lineRule="exact"/>
        <w:rPr>
          <w:rFonts w:ascii="黑体" w:hAnsi="黑体" w:eastAsia="黑体" w:cs="方正小标宋简体"/>
          <w:bCs/>
          <w:color w:val="000000" w:themeColor="text1"/>
          <w:sz w:val="36"/>
          <w:szCs w:val="36"/>
        </w:rPr>
      </w:pPr>
      <w:r>
        <w:rPr>
          <w:rFonts w:hint="eastAsia" w:ascii="黑体" w:hAnsi="黑体" w:eastAsia="黑体" w:cs="方正小标宋简体"/>
          <w:bCs/>
          <w:color w:val="000000" w:themeColor="text1"/>
          <w:sz w:val="36"/>
          <w:szCs w:val="36"/>
        </w:rPr>
        <w:t>10.短暂性脑缺血发作</w:t>
      </w:r>
    </w:p>
    <w:p>
      <w:pPr>
        <w:spacing w:line="400" w:lineRule="exact"/>
        <w:jc w:val="center"/>
        <w:rPr>
          <w:rFonts w:ascii="仿宋_GB2312" w:hAnsi="方正小标宋简体" w:eastAsia="仿宋_GB2312" w:cs="方正小标宋简体"/>
          <w:b/>
          <w:color w:val="000000" w:themeColor="text1"/>
          <w:sz w:val="32"/>
          <w:szCs w:val="32"/>
        </w:rPr>
      </w:pPr>
    </w:p>
    <w:p>
      <w:pPr>
        <w:spacing w:line="400" w:lineRule="exact"/>
        <w:jc w:val="center"/>
        <w:rPr>
          <w:rFonts w:ascii="仿宋_GB2312" w:hAnsi="黑体" w:eastAsia="仿宋_GB2312" w:cs="方正小标宋简体"/>
          <w:b/>
          <w:bCs/>
          <w:color w:val="000000" w:themeColor="text1"/>
          <w:sz w:val="32"/>
          <w:szCs w:val="32"/>
        </w:rPr>
      </w:pPr>
      <w:r>
        <w:rPr>
          <w:rFonts w:hint="eastAsia" w:ascii="仿宋_GB2312" w:hAnsi="方正小标宋简体" w:eastAsia="仿宋_GB2312" w:cs="方正小标宋简体"/>
          <w:b/>
          <w:color w:val="000000" w:themeColor="text1"/>
          <w:sz w:val="32"/>
          <w:szCs w:val="32"/>
        </w:rPr>
        <w:t>一、临床路径标准治疗流程</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（一）适用对象</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第一诊断为短暂性脑缺血发作</w:t>
      </w:r>
      <w:r>
        <w:rPr>
          <w:rFonts w:hint="eastAsia" w:ascii="仿宋_GB2312" w:hAnsi="仿宋_GB2312" w:eastAsia="仿宋_GB2312" w:cs="仿宋_GB2312"/>
          <w:b/>
          <w:color w:val="000000" w:themeColor="text1"/>
          <w:sz w:val="24"/>
        </w:rPr>
        <w:t>。</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（二）诊断依据</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根据美国心脏/卒中学会《短暂性脑缺血发作定义和评估》（Stroke，2009；40:2276-2293）及《中国缺血性脑卒中和短暂性脑缺血发作二级预防指南2022》（中华医学会神经病学分会制订）</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1.起病突然，迅速出现局灶性神经系统症状和体征;</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2.神经系统症状和体征多数持续十至数十分钟，但可反复发作;</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3.除外其它非血管源性因素;</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4.神经影像学未发现任何急性梗死病灶。</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（三）治疗方案的选择</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根据美国心脏/卒中学会《短暂性脑缺血发作定义和评估》（Stroke，2009；40:2276-2293）及《中国缺血性脑卒中和短暂性脑缺血发作二级预防指南2022》（中华医学会神经病学分会 制订）</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1.进行系统的病因学检查及血管评估，制定治疗策略;</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2.抗血小板聚集治疗，频繁发作可考虑双联抗血小板治疗;</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3.如考虑心源性因素可应予抗凝治疗;</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4.病因、危险因素、并发症的治疗;</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5.明确有血管狭窄并达到手术标准者可考虑手术治疗（支架成形术或颈动脉内膜剥脱术）。</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（四）标准住院日</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7天。</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（五）进入路径标准</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1.第一诊断必须符合短暂性脑缺血发作;</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2.当患者同时具有其他疾病诊断，但在住院期间不需要特殊处理也不影响第一诊断的临床路径流程实施时，可以进入路径。</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（六）住院后的检查项目</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1.必需检查的项目：</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（1）血常规、尿常规、大便常规；</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（2）肝肾功能、电解质、血糖、血脂、凝血功能、同型半胱氨酸、感染性疾病筛查（乙肝、丙肝、梅毒、艾滋病等）；</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（3）胸片、心电图；超声心动图、脑电图;</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（4）头颅MRI+MRA或CT+CTA，颈部血管超声。</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2.根据具体情况可选择的检查项目：</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（1）抗核抗体、肿瘤标记、甲功、ENA、ANCA、纤维蛋白原水平、蛋白C、抗凝血酶Ⅲ;</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（2）TCD、磁共振高分辨血管扫描或DSA;</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（3）灌注CT或灌注MRI、头颅MRI磁敏感扫描。</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（七）选择用药</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1.抗血小板聚集药物：肠溶阿司匹林、氯吡格雷等;</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2.抗凝药物：排除抗凝治疗禁忌症后可选择：低分子肝素、肝素、华法令，也可选择新型口服抗凝药;</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3.调脂药物：可选择他汀类药物、依折麦布类、PCSK9抑制剂。</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（八）出院标准</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1.患者病情稳定;</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2.没有需要住院治疗的并发症。</w:t>
      </w:r>
    </w:p>
    <w:p>
      <w:pPr>
        <w:adjustRightInd w:val="0"/>
        <w:snapToGrid w:val="0"/>
        <w:spacing w:line="400" w:lineRule="exact"/>
        <w:ind w:firstLine="481" w:firstLineChars="200"/>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（九）变异及原因分析</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1.辅助检查异常，需要复查和明确异常原因，导致住院治疗时间延长和住院费用增加;</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2.住院期间病情加重，出现并发症，需要进一步诊治，导致住院治疗时间延长和住院费用增加;</w:t>
      </w:r>
    </w:p>
    <w:p>
      <w:pPr>
        <w:adjustRightInd w:val="0"/>
        <w:snapToGrid w:val="0"/>
        <w:spacing w:line="400" w:lineRule="exact"/>
        <w:ind w:firstLine="480" w:firstLineChars="200"/>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3.既往合并有其他系统疾病，短暂性脑缺血发作可能导致合并疾病加重而需要治疗，从而延长治疗时间和增加住院费用;</w:t>
      </w:r>
    </w:p>
    <w:p>
      <w:pPr>
        <w:adjustRightInd w:val="0"/>
        <w:snapToGrid w:val="0"/>
        <w:spacing w:line="400" w:lineRule="exact"/>
        <w:ind w:firstLine="480" w:firstLineChars="200"/>
        <w:jc w:val="center"/>
        <w:rPr>
          <w:rFonts w:ascii="仿宋_GB2312" w:eastAsia="仿宋_GB2312"/>
          <w:b/>
          <w:color w:val="000000" w:themeColor="text1"/>
          <w:sz w:val="32"/>
          <w:szCs w:val="32"/>
        </w:rPr>
      </w:pPr>
      <w:r>
        <w:rPr>
          <w:rFonts w:hint="eastAsia" w:ascii="仿宋_GB2312" w:hAnsi="仿宋_GB2312" w:eastAsia="仿宋_GB2312" w:cs="仿宋_GB2312"/>
          <w:color w:val="000000" w:themeColor="text1"/>
          <w:sz w:val="24"/>
        </w:rPr>
        <w:t>4.短暂性脑缺血发作病因明确，反复发作并且有手术指征者需介入治疗或转血管外科进一步治疗，转入相应治疗路径。</w:t>
      </w:r>
      <w:r>
        <w:rPr>
          <w:rFonts w:ascii="仿宋_GB2312" w:eastAsia="仿宋_GB2312"/>
          <w:color w:val="000000" w:themeColor="text1"/>
          <w:sz w:val="32"/>
          <w:szCs w:val="32"/>
        </w:rPr>
        <w:br w:type="page"/>
      </w:r>
      <w:r>
        <w:rPr>
          <w:rFonts w:hint="eastAsia" w:ascii="仿宋_GB2312" w:hAnsi="方正小标宋简体" w:eastAsia="仿宋_GB2312" w:cs="方正小标宋简体"/>
          <w:b/>
          <w:color w:val="000000" w:themeColor="text1"/>
          <w:sz w:val="32"/>
          <w:szCs w:val="32"/>
        </w:rPr>
        <w:t>二、短暂性脑缺血发作日间病床临床路径表单</w:t>
      </w:r>
    </w:p>
    <w:p>
      <w:pPr>
        <w:spacing w:line="400" w:lineRule="exact"/>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适用对象：第一诊断为短暂性脑缺血发作</w:t>
      </w:r>
    </w:p>
    <w:p>
      <w:pPr>
        <w:rPr>
          <w:rFonts w:ascii="仿宋_GB2312" w:hAnsi="仿宋_GB2312" w:eastAsia="仿宋_GB2312" w:cs="仿宋_GB2312"/>
          <w:color w:val="000000" w:themeColor="text1"/>
          <w:sz w:val="24"/>
          <w:u w:val="single"/>
        </w:rPr>
      </w:pPr>
      <w:r>
        <w:rPr>
          <w:rFonts w:hint="eastAsia" w:ascii="仿宋_GB2312" w:hAnsi="仿宋_GB2312" w:eastAsia="仿宋_GB2312" w:cs="仿宋_GB2312"/>
          <w:color w:val="000000" w:themeColor="text1"/>
          <w:sz w:val="24"/>
        </w:rPr>
        <w:t>患者姓名：</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性别：</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年龄：</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门诊号：</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住院号：</w:t>
      </w:r>
      <w:r>
        <w:rPr>
          <w:rFonts w:hint="eastAsia" w:ascii="仿宋_GB2312" w:hAnsi="仿宋_GB2312" w:eastAsia="仿宋_GB2312" w:cs="仿宋_GB2312"/>
          <w:color w:val="000000" w:themeColor="text1"/>
          <w:sz w:val="24"/>
          <w:u w:val="single"/>
        </w:rPr>
        <w:t xml:space="preserve">           </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住院日期：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日                 出院日期：</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年</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 xml:space="preserve"> 月</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日</w:t>
      </w:r>
    </w:p>
    <w:p>
      <w:pP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 xml:space="preserve">标准住院日：7天                              实际住院日： </w:t>
      </w:r>
      <w:r>
        <w:rPr>
          <w:rFonts w:hint="eastAsia" w:ascii="仿宋_GB2312" w:hAnsi="仿宋_GB2312" w:eastAsia="仿宋_GB2312" w:cs="仿宋_GB2312"/>
          <w:color w:val="000000" w:themeColor="text1"/>
          <w:sz w:val="24"/>
          <w:u w:val="single"/>
        </w:rPr>
        <w:t xml:space="preserve">   </w:t>
      </w:r>
      <w:r>
        <w:rPr>
          <w:rFonts w:hint="eastAsia" w:ascii="仿宋_GB2312" w:hAnsi="仿宋_GB2312" w:eastAsia="仿宋_GB2312" w:cs="仿宋_GB2312"/>
          <w:color w:val="000000" w:themeColor="text1"/>
          <w:sz w:val="24"/>
        </w:rPr>
        <w:t>天</w:t>
      </w:r>
    </w:p>
    <w:tbl>
      <w:tblPr>
        <w:tblStyle w:val="11"/>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977"/>
        <w:gridCol w:w="2835"/>
        <w:gridCol w:w="2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日期</w:t>
            </w:r>
          </w:p>
        </w:tc>
        <w:tc>
          <w:tcPr>
            <w:tcW w:w="2977"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Cs w:val="21"/>
              </w:rPr>
              <w:t>（第1天）</w:t>
            </w:r>
          </w:p>
        </w:tc>
        <w:tc>
          <w:tcPr>
            <w:tcW w:w="2835"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Cs w:val="21"/>
              </w:rPr>
              <w:t>（第2天）</w:t>
            </w:r>
          </w:p>
        </w:tc>
        <w:tc>
          <w:tcPr>
            <w:tcW w:w="2805"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Cs w:val="21"/>
              </w:rPr>
              <w:t>（第3天）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主要</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诊疗</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工作</w:t>
            </w:r>
          </w:p>
        </w:tc>
        <w:tc>
          <w:tcPr>
            <w:tcW w:w="2977"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□询问病史，体格检查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□查看既往辅助检查：头颅CT或MRI</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□初步诊断，确定药物治疗方案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□向患者及家属交待病情</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□开化验单及相关检查单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□神经功能状态及卒中风险评价</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□完成首次病程记录和病历记录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□观察病情，必要时静脉溶栓</w:t>
            </w:r>
          </w:p>
          <w:p>
            <w:pPr>
              <w:rPr>
                <w:rFonts w:ascii="仿宋_GB2312" w:hAnsi="仿宋_GB2312" w:eastAsia="仿宋_GB2312" w:cs="仿宋_GB2312"/>
                <w:color w:val="000000" w:themeColor="text1"/>
                <w:szCs w:val="21"/>
              </w:rPr>
            </w:pPr>
          </w:p>
        </w:tc>
        <w:tc>
          <w:tcPr>
            <w:tcW w:w="283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□上级医师查房，完成上级医师查房记录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□评估辅助检查结果，分析病因</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□向患者及家属介绍病情</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□根据病情调整治疗方案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□评价神经功能状态</w:t>
            </w:r>
          </w:p>
          <w:p>
            <w:pPr>
              <w:tabs>
                <w:tab w:val="left" w:pos="360"/>
              </w:tabs>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szCs w:val="21"/>
              </w:rPr>
              <w:t>□必要时相应科室会诊</w:t>
            </w:r>
          </w:p>
        </w:tc>
        <w:tc>
          <w:tcPr>
            <w:tcW w:w="280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□上级医师查房，完成上级医师查房记录</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□根据患者病情调整诊断和治疗方案</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□评价神经功能状态</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□根据患者病情及辅助检查结果等，决定是否请外科或介入科会诊</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□记录会诊意见</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□必要时向患者及家属介绍病情变化及相关检查结果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重点</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医嘱</w:t>
            </w:r>
          </w:p>
        </w:tc>
        <w:tc>
          <w:tcPr>
            <w:tcW w:w="2977"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□神经科护理常规</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□一级或二级护理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□饮食</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□既往基础用药</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□抗血小板或抗凝药物</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□调脂稳定斑块药物</w:t>
            </w: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□血常规、尿常规、大便常规</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□肝肾功能、电解质、血糖、血脂、凝血功能、感染性疾病筛查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□抗“O”、抗核抗体、ENA、类风湿因子、纤维蛋白原水平、同型半胱氨酸</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□胸片、心电图、超声心动图、头颅MRI+MRA或CT+CTA，颈动脉血管超声</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□根据情况可选择：蛋白C、抗凝血酶Ⅲ，TCD或DSA，CT灌注或功能MRI</w:t>
            </w:r>
          </w:p>
        </w:tc>
        <w:tc>
          <w:tcPr>
            <w:tcW w:w="2835"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□神经科护理常规</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□一级或二级护理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□饮食</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□既往基础用药</w:t>
            </w:r>
          </w:p>
          <w:p>
            <w:pPr>
              <w:tabs>
                <w:tab w:val="left" w:pos="360"/>
              </w:tabs>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□抗血小板或抗凝药</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□调脂稳定斑块药物</w:t>
            </w:r>
          </w:p>
          <w:p>
            <w:pPr>
              <w:rPr>
                <w:rFonts w:ascii="仿宋_GB2312" w:hAnsi="仿宋_GB2312" w:eastAsia="仿宋_GB2312" w:cs="仿宋_GB2312"/>
                <w:bCs/>
                <w:color w:val="000000" w:themeColor="text1"/>
                <w:szCs w:val="21"/>
              </w:rPr>
            </w:pP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lang w:val="zh-CN"/>
              </w:rPr>
              <w:t>必</w:t>
            </w:r>
            <w:r>
              <w:rPr>
                <w:rFonts w:hint="eastAsia" w:ascii="仿宋_GB2312" w:hAnsi="仿宋_GB2312" w:eastAsia="仿宋_GB2312" w:cs="仿宋_GB2312"/>
                <w:color w:val="000000" w:themeColor="text1"/>
                <w:szCs w:val="21"/>
              </w:rPr>
              <w:t>要时复查异常的检查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□如果使用华法令，每日测PT/INR；若使用普通肝素，每日监测APTT</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□根据特殊病史选择相应检查</w:t>
            </w:r>
          </w:p>
          <w:p>
            <w:pPr>
              <w:tabs>
                <w:tab w:val="left" w:pos="360"/>
              </w:tabs>
              <w:rPr>
                <w:rFonts w:ascii="仿宋_GB2312" w:hAnsi="仿宋_GB2312" w:eastAsia="仿宋_GB2312" w:cs="仿宋_GB2312"/>
                <w:color w:val="000000" w:themeColor="text1"/>
                <w:kern w:val="0"/>
                <w:szCs w:val="21"/>
                <w:lang w:val="zh-CN"/>
              </w:rPr>
            </w:pPr>
            <w:r>
              <w:rPr>
                <w:rFonts w:hint="eastAsia" w:ascii="仿宋_GB2312" w:hAnsi="仿宋_GB2312" w:eastAsia="仿宋_GB2312" w:cs="仿宋_GB2312"/>
                <w:color w:val="000000" w:themeColor="text1"/>
                <w:szCs w:val="21"/>
              </w:rPr>
              <w:t>□相关科室会诊</w:t>
            </w:r>
          </w:p>
        </w:tc>
        <w:tc>
          <w:tcPr>
            <w:tcW w:w="2805" w:type="dxa"/>
          </w:tcPr>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长期医嘱：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□神经科护理常规</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□一级或二级护理</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□饮食</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□既往基础用药</w:t>
            </w:r>
          </w:p>
          <w:p>
            <w:pPr>
              <w:tabs>
                <w:tab w:val="left" w:pos="360"/>
              </w:tabs>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□抗凝药物或抗血小板药</w:t>
            </w:r>
          </w:p>
          <w:p>
            <w:pPr>
              <w:tabs>
                <w:tab w:val="left" w:pos="360"/>
              </w:tabs>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□调脂稳定斑块药物</w:t>
            </w:r>
          </w:p>
          <w:p>
            <w:pPr>
              <w:rPr>
                <w:rFonts w:ascii="仿宋_GB2312" w:hAnsi="仿宋_GB2312" w:eastAsia="仿宋_GB2312" w:cs="仿宋_GB2312"/>
                <w:bCs/>
                <w:color w:val="000000" w:themeColor="text1"/>
                <w:szCs w:val="21"/>
              </w:rPr>
            </w:pPr>
          </w:p>
          <w:p>
            <w:pPr>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临时医嘱：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kern w:val="0"/>
                <w:szCs w:val="21"/>
                <w:lang w:val="zh-CN"/>
              </w:rPr>
              <w:t>必要</w:t>
            </w:r>
            <w:r>
              <w:rPr>
                <w:rFonts w:hint="eastAsia" w:ascii="仿宋_GB2312" w:hAnsi="仿宋_GB2312" w:eastAsia="仿宋_GB2312" w:cs="仿宋_GB2312"/>
                <w:color w:val="000000" w:themeColor="text1"/>
                <w:szCs w:val="21"/>
              </w:rPr>
              <w:t>时复查异常的检查</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□如果使用华法令，每日测PT/INR，若使用普通肝素，每日监测APTT</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□依据病情需要下达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主要</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护理</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工作</w:t>
            </w:r>
          </w:p>
        </w:tc>
        <w:tc>
          <w:tcPr>
            <w:tcW w:w="2977"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□入院宣教及护理评估</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□正确执行医嘱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□观察患者病情变化</w:t>
            </w:r>
          </w:p>
        </w:tc>
        <w:tc>
          <w:tcPr>
            <w:tcW w:w="283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□正确执行医嘱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□观察患者病情变化</w:t>
            </w:r>
          </w:p>
          <w:p>
            <w:pPr>
              <w:rPr>
                <w:rFonts w:ascii="仿宋_GB2312" w:hAnsi="仿宋_GB2312" w:eastAsia="仿宋_GB2312" w:cs="仿宋_GB2312"/>
                <w:color w:val="000000" w:themeColor="text1"/>
                <w:szCs w:val="21"/>
              </w:rPr>
            </w:pPr>
          </w:p>
        </w:tc>
        <w:tc>
          <w:tcPr>
            <w:tcW w:w="2805" w:type="dxa"/>
          </w:tcPr>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□正确执行医嘱</w:t>
            </w:r>
          </w:p>
          <w:p>
            <w:pPr>
              <w:tabs>
                <w:tab w:val="left" w:pos="360"/>
              </w:tabs>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□观察患者病情变化</w:t>
            </w:r>
          </w:p>
          <w:p>
            <w:pP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trPr>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病情变异记录</w:t>
            </w:r>
          </w:p>
        </w:tc>
        <w:tc>
          <w:tcPr>
            <w:tcW w:w="2977"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w:t>
            </w:r>
          </w:p>
          <w:p>
            <w:pPr>
              <w:rPr>
                <w:rFonts w:ascii="仿宋_GB2312" w:hAnsi="仿宋_GB2312" w:eastAsia="仿宋_GB2312" w:cs="仿宋_GB2312"/>
                <w:color w:val="000000" w:themeColor="text1"/>
                <w:szCs w:val="21"/>
                <w:u w:val="single"/>
              </w:rPr>
            </w:pPr>
            <w:r>
              <w:rPr>
                <w:rFonts w:hint="eastAsia" w:ascii="仿宋_GB2312" w:hAnsi="仿宋_GB2312" w:eastAsia="仿宋_GB2312" w:cs="仿宋_GB2312"/>
                <w:color w:val="000000" w:themeColor="text1"/>
                <w:szCs w:val="21"/>
              </w:rPr>
              <w:t>2．</w:t>
            </w:r>
          </w:p>
        </w:tc>
        <w:tc>
          <w:tcPr>
            <w:tcW w:w="2835"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w:t>
            </w:r>
          </w:p>
          <w:p>
            <w:pPr>
              <w:rPr>
                <w:rFonts w:ascii="仿宋_GB2312" w:hAnsi="仿宋_GB2312" w:eastAsia="仿宋_GB2312" w:cs="仿宋_GB2312"/>
                <w:color w:val="000000" w:themeColor="text1"/>
                <w:szCs w:val="21"/>
                <w:u w:val="single"/>
              </w:rPr>
            </w:pPr>
            <w:r>
              <w:rPr>
                <w:rFonts w:hint="eastAsia" w:ascii="仿宋_GB2312" w:hAnsi="仿宋_GB2312" w:eastAsia="仿宋_GB2312" w:cs="仿宋_GB2312"/>
                <w:color w:val="000000" w:themeColor="text1"/>
                <w:szCs w:val="21"/>
              </w:rPr>
              <w:t>2．</w:t>
            </w:r>
          </w:p>
        </w:tc>
        <w:tc>
          <w:tcPr>
            <w:tcW w:w="2805" w:type="dxa"/>
          </w:tcPr>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□无  □有，原因：</w:t>
            </w:r>
          </w:p>
          <w:p>
            <w:pP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w:t>
            </w:r>
          </w:p>
          <w:p>
            <w:pPr>
              <w:rPr>
                <w:rFonts w:ascii="仿宋_GB2312" w:hAnsi="仿宋_GB2312" w:eastAsia="仿宋_GB2312" w:cs="仿宋_GB2312"/>
                <w:color w:val="000000" w:themeColor="text1"/>
                <w:szCs w:val="21"/>
                <w:u w:val="single"/>
              </w:rPr>
            </w:pPr>
            <w:r>
              <w:rPr>
                <w:rFonts w:hint="eastAsia" w:ascii="仿宋_GB2312" w:hAnsi="仿宋_GB2312" w:eastAsia="仿宋_GB2312" w:cs="仿宋_GB2312"/>
                <w:color w:val="000000" w:themeColor="text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护士</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签名</w:t>
            </w:r>
          </w:p>
        </w:tc>
        <w:tc>
          <w:tcPr>
            <w:tcW w:w="2977" w:type="dxa"/>
            <w:vAlign w:val="center"/>
          </w:tcPr>
          <w:p>
            <w:pPr>
              <w:jc w:val="center"/>
              <w:rPr>
                <w:rFonts w:ascii="仿宋_GB2312" w:hAnsi="仿宋_GB2312" w:eastAsia="仿宋_GB2312" w:cs="仿宋_GB2312"/>
                <w:color w:val="000000" w:themeColor="text1"/>
                <w:szCs w:val="21"/>
              </w:rPr>
            </w:pPr>
          </w:p>
        </w:tc>
        <w:tc>
          <w:tcPr>
            <w:tcW w:w="2835" w:type="dxa"/>
            <w:vAlign w:val="center"/>
          </w:tcPr>
          <w:p>
            <w:pPr>
              <w:jc w:val="center"/>
              <w:rPr>
                <w:rFonts w:ascii="仿宋_GB2312" w:hAnsi="仿宋_GB2312" w:eastAsia="仿宋_GB2312" w:cs="仿宋_GB2312"/>
                <w:color w:val="000000" w:themeColor="text1"/>
                <w:szCs w:val="21"/>
              </w:rPr>
            </w:pPr>
          </w:p>
        </w:tc>
        <w:tc>
          <w:tcPr>
            <w:tcW w:w="2805" w:type="dxa"/>
            <w:vAlign w:val="center"/>
          </w:tcPr>
          <w:p>
            <w:pPr>
              <w:jc w:val="center"/>
              <w:rPr>
                <w:rFonts w:ascii="仿宋_GB2312" w:hAnsi="仿宋_GB2312" w:eastAsia="仿宋_GB2312" w:cs="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817" w:type="dxa"/>
            <w:vAlign w:val="center"/>
          </w:tcPr>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医师</w:t>
            </w:r>
          </w:p>
          <w:p>
            <w:pPr>
              <w:autoSpaceDE w:val="0"/>
              <w:autoSpaceDN w:val="0"/>
              <w:adjustRightInd w:val="0"/>
              <w:jc w:val="center"/>
              <w:rPr>
                <w:rFonts w:ascii="仿宋_GB2312" w:hAnsi="仿宋_GB2312" w:eastAsia="仿宋_GB2312" w:cs="仿宋_GB2312"/>
                <w:color w:val="000000" w:themeColor="text1"/>
                <w:kern w:val="1"/>
                <w:szCs w:val="21"/>
                <w:u w:color="FF0000"/>
              </w:rPr>
            </w:pPr>
            <w:r>
              <w:rPr>
                <w:rFonts w:hint="eastAsia" w:ascii="仿宋_GB2312" w:hAnsi="仿宋_GB2312" w:eastAsia="仿宋_GB2312" w:cs="仿宋_GB2312"/>
                <w:color w:val="000000" w:themeColor="text1"/>
                <w:kern w:val="1"/>
                <w:szCs w:val="21"/>
                <w:u w:color="FF0000"/>
              </w:rPr>
              <w:t>签名</w:t>
            </w:r>
          </w:p>
        </w:tc>
        <w:tc>
          <w:tcPr>
            <w:tcW w:w="2977" w:type="dxa"/>
            <w:vAlign w:val="center"/>
          </w:tcPr>
          <w:p>
            <w:pPr>
              <w:rPr>
                <w:rFonts w:ascii="仿宋_GB2312" w:hAnsi="仿宋_GB2312" w:eastAsia="仿宋_GB2312" w:cs="仿宋_GB2312"/>
                <w:color w:val="000000" w:themeColor="text1"/>
                <w:szCs w:val="21"/>
              </w:rPr>
            </w:pPr>
          </w:p>
        </w:tc>
        <w:tc>
          <w:tcPr>
            <w:tcW w:w="2835" w:type="dxa"/>
            <w:vAlign w:val="center"/>
          </w:tcPr>
          <w:p>
            <w:pPr>
              <w:jc w:val="center"/>
              <w:rPr>
                <w:rFonts w:ascii="仿宋_GB2312" w:hAnsi="仿宋_GB2312" w:eastAsia="仿宋_GB2312" w:cs="仿宋_GB2312"/>
                <w:color w:val="000000" w:themeColor="text1"/>
                <w:szCs w:val="21"/>
              </w:rPr>
            </w:pPr>
          </w:p>
        </w:tc>
        <w:tc>
          <w:tcPr>
            <w:tcW w:w="2805" w:type="dxa"/>
            <w:vAlign w:val="center"/>
          </w:tcPr>
          <w:p>
            <w:pPr>
              <w:jc w:val="center"/>
              <w:rPr>
                <w:rFonts w:ascii="仿宋_GB2312" w:hAnsi="仿宋_GB2312" w:eastAsia="仿宋_GB2312" w:cs="仿宋_GB2312"/>
                <w:color w:val="000000" w:themeColor="text1"/>
                <w:szCs w:val="21"/>
              </w:rPr>
            </w:pPr>
          </w:p>
        </w:tc>
      </w:tr>
    </w:tbl>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p>
      <w:pPr>
        <w:rPr>
          <w:rFonts w:ascii="仿宋_GB2312" w:hAnsi="仿宋_GB2312" w:eastAsia="仿宋_GB2312" w:cs="仿宋_GB2312"/>
          <w:color w:val="000000" w:themeColor="text1"/>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3849"/>
        <w:gridCol w:w="3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vAlign w:val="center"/>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日期</w:t>
            </w:r>
          </w:p>
        </w:tc>
        <w:tc>
          <w:tcPr>
            <w:tcW w:w="3849"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Cs w:val="21"/>
              </w:rPr>
              <w:t>（第4-6天）</w:t>
            </w:r>
          </w:p>
        </w:tc>
        <w:tc>
          <w:tcPr>
            <w:tcW w:w="3696" w:type="dxa"/>
          </w:tcPr>
          <w:p>
            <w:pPr>
              <w:jc w:val="center"/>
              <w:rPr>
                <w:rFonts w:ascii="仿宋_GB2312" w:hAnsi="Times New Roman" w:eastAsia="仿宋_GB2312" w:cs="Times New Roman"/>
                <w:color w:val="000000" w:themeColor="text1"/>
                <w:szCs w:val="21"/>
              </w:rPr>
            </w:pP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年 </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月</w:t>
            </w:r>
            <w:r>
              <w:rPr>
                <w:rFonts w:hint="eastAsia" w:ascii="仿宋_GB2312" w:hAnsi="仿宋_GB2312" w:eastAsia="仿宋_GB2312" w:cs="仿宋_GB2312"/>
                <w:color w:val="000000" w:themeColor="text1"/>
                <w:szCs w:val="21"/>
                <w:u w:val="single"/>
              </w:rPr>
              <w:t xml:space="preserve">   </w:t>
            </w:r>
            <w:r>
              <w:rPr>
                <w:rFonts w:hint="eastAsia" w:ascii="仿宋_GB2312" w:hAnsi="Times New Roman" w:eastAsia="仿宋_GB2312" w:cs="Times New Roman"/>
                <w:color w:val="000000" w:themeColor="text1"/>
                <w:szCs w:val="21"/>
              </w:rPr>
              <w:t xml:space="preserve"> 日</w:t>
            </w:r>
          </w:p>
          <w:p>
            <w:pPr>
              <w:jc w:val="center"/>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Cs w:val="21"/>
              </w:rPr>
              <w:t>（出院日）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主要</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诊疗</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工作</w:t>
            </w:r>
          </w:p>
        </w:tc>
        <w:tc>
          <w:tcPr>
            <w:tcW w:w="3849" w:type="dxa"/>
          </w:tcPr>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□三级医生查房</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□评估辅助检查结果，评价神经功能状态</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□有手术指征者转科治疗</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□通知患者及其家属明天出院</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□向患者交待出院后注意事项，预约复诊日期</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□如果患者不能出院，在“病程记录”中说明原因和继续治疗的方案。</w:t>
            </w:r>
          </w:p>
        </w:tc>
        <w:tc>
          <w:tcPr>
            <w:tcW w:w="3696" w:type="dxa"/>
          </w:tcPr>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□再次向患者及家属介绍病出院后注意事项</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□患者办理出院手续，出院</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□转科病人办理转科手续</w:t>
            </w:r>
          </w:p>
          <w:p>
            <w:pPr>
              <w:jc w:val="left"/>
              <w:rPr>
                <w:rFonts w:ascii="仿宋_GB2312" w:hAnsi="宋体" w:eastAsia="仿宋_GB2312"/>
                <w:color w:val="000000" w:themeColor="text1"/>
                <w:szCs w:val="21"/>
              </w:rPr>
            </w:pPr>
          </w:p>
          <w:p>
            <w:pPr>
              <w:jc w:val="left"/>
              <w:rPr>
                <w:rFonts w:ascii="仿宋_GB2312" w:hAnsi="宋体" w:eastAsia="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重点</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医嘱</w:t>
            </w:r>
          </w:p>
        </w:tc>
        <w:tc>
          <w:tcPr>
            <w:tcW w:w="3849" w:type="dxa"/>
          </w:tcPr>
          <w:p>
            <w:pPr>
              <w:jc w:val="left"/>
              <w:rPr>
                <w:rFonts w:ascii="仿宋_GB2312" w:hAnsi="宋体" w:eastAsia="仿宋_GB2312"/>
                <w:bCs/>
                <w:color w:val="000000" w:themeColor="text1"/>
                <w:szCs w:val="21"/>
              </w:rPr>
            </w:pPr>
            <w:r>
              <w:rPr>
                <w:rFonts w:hint="eastAsia" w:ascii="仿宋_GB2312" w:hAnsi="宋体" w:eastAsia="仿宋_GB2312"/>
                <w:bCs/>
                <w:color w:val="000000" w:themeColor="text1"/>
                <w:szCs w:val="21"/>
              </w:rPr>
              <w:t>长期医嘱：</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□神经科护理常规</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□一～二级护理</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□饮食</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□既往基础用药</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□抗凝药物或抗血小板药</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□调脂稳定斑块药物</w:t>
            </w:r>
          </w:p>
          <w:p>
            <w:pPr>
              <w:jc w:val="left"/>
              <w:rPr>
                <w:rFonts w:ascii="仿宋_GB2312" w:hAnsi="宋体" w:eastAsia="仿宋_GB2312"/>
                <w:bCs/>
                <w:color w:val="000000" w:themeColor="text1"/>
                <w:szCs w:val="21"/>
              </w:rPr>
            </w:pPr>
            <w:r>
              <w:rPr>
                <w:rFonts w:hint="eastAsia" w:ascii="仿宋_GB2312" w:hAnsi="宋体" w:eastAsia="仿宋_GB2312"/>
                <w:bCs/>
                <w:color w:val="000000" w:themeColor="text1"/>
                <w:szCs w:val="21"/>
              </w:rPr>
              <w:t>临时医嘱：</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w:t>
            </w:r>
            <w:r>
              <w:rPr>
                <w:rFonts w:hint="eastAsia" w:ascii="仿宋_GB2312" w:hAnsi="宋体" w:eastAsia="仿宋_GB2312"/>
                <w:color w:val="000000" w:themeColor="text1"/>
                <w:kern w:val="0"/>
                <w:szCs w:val="21"/>
                <w:lang w:val="zh-CN"/>
              </w:rPr>
              <w:t>如果使</w:t>
            </w:r>
            <w:r>
              <w:rPr>
                <w:rFonts w:hint="eastAsia" w:ascii="仿宋_GB2312" w:hAnsi="宋体" w:eastAsia="仿宋_GB2312"/>
                <w:color w:val="000000" w:themeColor="text1"/>
                <w:szCs w:val="21"/>
              </w:rPr>
              <w:t>用华法令，每日测PT/INR，若使用普通肝素，每日监测APTT</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□明日出院或转科</w:t>
            </w:r>
          </w:p>
        </w:tc>
        <w:tc>
          <w:tcPr>
            <w:tcW w:w="3696" w:type="dxa"/>
          </w:tcPr>
          <w:p>
            <w:pPr>
              <w:jc w:val="left"/>
              <w:rPr>
                <w:rFonts w:ascii="仿宋_GB2312" w:hAnsi="宋体" w:eastAsia="仿宋_GB2312"/>
                <w:bCs/>
                <w:color w:val="000000" w:themeColor="text1"/>
                <w:szCs w:val="21"/>
              </w:rPr>
            </w:pPr>
            <w:r>
              <w:rPr>
                <w:rFonts w:hint="eastAsia" w:ascii="仿宋_GB2312" w:hAnsi="宋体" w:eastAsia="仿宋_GB2312"/>
                <w:bCs/>
                <w:color w:val="000000" w:themeColor="text1"/>
                <w:szCs w:val="21"/>
              </w:rPr>
              <w:t>出院医嘱：</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□出院带药</w:t>
            </w:r>
          </w:p>
          <w:p>
            <w:pPr>
              <w:jc w:val="left"/>
              <w:rPr>
                <w:rFonts w:ascii="仿宋_GB2312" w:hAnsi="宋体" w:eastAsia="仿宋_GB2312"/>
                <w:color w:val="000000" w:themeColor="text1"/>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rPr>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主要</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护理</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工作</w:t>
            </w:r>
          </w:p>
        </w:tc>
        <w:tc>
          <w:tcPr>
            <w:tcW w:w="3849" w:type="dxa"/>
          </w:tcPr>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□正确执行医嘱</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□观察患者病情变化</w:t>
            </w:r>
          </w:p>
          <w:p>
            <w:pPr>
              <w:jc w:val="left"/>
              <w:rPr>
                <w:rFonts w:ascii="仿宋_GB2312" w:hAnsi="宋体" w:eastAsia="仿宋_GB2312"/>
                <w:color w:val="000000" w:themeColor="text1"/>
                <w:szCs w:val="21"/>
              </w:rPr>
            </w:pPr>
          </w:p>
        </w:tc>
        <w:tc>
          <w:tcPr>
            <w:tcW w:w="3696" w:type="dxa"/>
          </w:tcPr>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□出院带药服用指导</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□特殊护理指导</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□告知复诊时间和地点</w:t>
            </w:r>
          </w:p>
          <w:p>
            <w:pPr>
              <w:tabs>
                <w:tab w:val="left" w:pos="360"/>
              </w:tabs>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□交待常见的药物不良反应，嘱其定期门诊复诊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病情</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变化</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记录</w:t>
            </w:r>
          </w:p>
        </w:tc>
        <w:tc>
          <w:tcPr>
            <w:tcW w:w="3849" w:type="dxa"/>
          </w:tcPr>
          <w:p>
            <w:pPr>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□无  □有，原因：</w:t>
            </w:r>
          </w:p>
          <w:p>
            <w:pPr>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1．</w:t>
            </w:r>
          </w:p>
          <w:p>
            <w:pPr>
              <w:jc w:val="left"/>
              <w:rPr>
                <w:rFonts w:ascii="仿宋_GB2312" w:hAnsi="宋体" w:eastAsia="仿宋_GB2312"/>
                <w:color w:val="000000" w:themeColor="text1"/>
                <w:szCs w:val="21"/>
                <w:u w:val="single"/>
              </w:rPr>
            </w:pPr>
            <w:r>
              <w:rPr>
                <w:rFonts w:hint="eastAsia" w:ascii="仿宋_GB2312" w:hAnsi="宋体" w:eastAsia="仿宋_GB2312"/>
                <w:color w:val="000000" w:themeColor="text1"/>
                <w:szCs w:val="21"/>
              </w:rPr>
              <w:t>2．</w:t>
            </w:r>
          </w:p>
        </w:tc>
        <w:tc>
          <w:tcPr>
            <w:tcW w:w="3696" w:type="dxa"/>
          </w:tcPr>
          <w:p>
            <w:pPr>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□无  □有，原因：</w:t>
            </w:r>
          </w:p>
          <w:p>
            <w:pPr>
              <w:jc w:val="left"/>
              <w:rPr>
                <w:rFonts w:ascii="仿宋_GB2312" w:hAnsi="宋体" w:eastAsia="仿宋_GB2312"/>
                <w:color w:val="000000" w:themeColor="text1"/>
                <w:szCs w:val="21"/>
              </w:rPr>
            </w:pPr>
            <w:r>
              <w:rPr>
                <w:rFonts w:hint="eastAsia" w:ascii="仿宋_GB2312" w:hAnsi="宋体" w:eastAsia="仿宋_GB2312"/>
                <w:color w:val="000000" w:themeColor="text1"/>
                <w:szCs w:val="21"/>
              </w:rPr>
              <w:t>1．</w:t>
            </w:r>
          </w:p>
          <w:p>
            <w:pPr>
              <w:jc w:val="left"/>
              <w:rPr>
                <w:rFonts w:ascii="仿宋_GB2312" w:hAnsi="宋体" w:eastAsia="仿宋_GB2312"/>
                <w:color w:val="000000" w:themeColor="text1"/>
                <w:szCs w:val="21"/>
                <w:u w:val="single"/>
              </w:rPr>
            </w:pPr>
            <w:r>
              <w:rPr>
                <w:rFonts w:hint="eastAsia" w:ascii="仿宋_GB2312" w:hAnsi="宋体" w:eastAsia="仿宋_GB2312"/>
                <w:color w:val="000000" w:themeColor="text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护士</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签名</w:t>
            </w:r>
          </w:p>
        </w:tc>
        <w:tc>
          <w:tcPr>
            <w:tcW w:w="3849" w:type="dxa"/>
            <w:vAlign w:val="center"/>
          </w:tcPr>
          <w:p>
            <w:pPr>
              <w:jc w:val="left"/>
              <w:rPr>
                <w:rFonts w:ascii="仿宋_GB2312" w:hAnsi="宋体" w:eastAsia="仿宋_GB2312"/>
                <w:color w:val="000000" w:themeColor="text1"/>
                <w:szCs w:val="21"/>
              </w:rPr>
            </w:pPr>
          </w:p>
        </w:tc>
        <w:tc>
          <w:tcPr>
            <w:tcW w:w="3696" w:type="dxa"/>
            <w:vAlign w:val="center"/>
          </w:tcPr>
          <w:p>
            <w:pPr>
              <w:jc w:val="left"/>
              <w:rPr>
                <w:rFonts w:ascii="仿宋_GB2312" w:hAnsi="宋体" w:eastAsia="仿宋_GB2312"/>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345" w:type="dxa"/>
            <w:vAlign w:val="center"/>
          </w:tcPr>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医师</w:t>
            </w:r>
          </w:p>
          <w:p>
            <w:pPr>
              <w:autoSpaceDE w:val="0"/>
              <w:autoSpaceDN w:val="0"/>
              <w:adjustRightInd w:val="0"/>
              <w:jc w:val="center"/>
              <w:rPr>
                <w:rFonts w:ascii="仿宋_GB2312" w:hAnsi="黑体" w:eastAsia="仿宋_GB2312" w:cs="黑体"/>
                <w:color w:val="000000" w:themeColor="text1"/>
                <w:kern w:val="1"/>
                <w:szCs w:val="21"/>
                <w:u w:color="FF0000"/>
              </w:rPr>
            </w:pPr>
            <w:r>
              <w:rPr>
                <w:rFonts w:hint="eastAsia" w:ascii="仿宋_GB2312" w:hAnsi="黑体" w:eastAsia="仿宋_GB2312" w:cs="黑体"/>
                <w:color w:val="000000" w:themeColor="text1"/>
                <w:kern w:val="1"/>
                <w:szCs w:val="21"/>
                <w:u w:color="FF0000"/>
              </w:rPr>
              <w:t>签名</w:t>
            </w:r>
          </w:p>
        </w:tc>
        <w:tc>
          <w:tcPr>
            <w:tcW w:w="3849" w:type="dxa"/>
            <w:vAlign w:val="center"/>
          </w:tcPr>
          <w:p>
            <w:pPr>
              <w:jc w:val="left"/>
              <w:rPr>
                <w:rFonts w:ascii="仿宋_GB2312" w:hAnsi="宋体" w:eastAsia="仿宋_GB2312"/>
                <w:color w:val="000000" w:themeColor="text1"/>
                <w:szCs w:val="21"/>
              </w:rPr>
            </w:pPr>
          </w:p>
        </w:tc>
        <w:tc>
          <w:tcPr>
            <w:tcW w:w="3696" w:type="dxa"/>
            <w:vAlign w:val="center"/>
          </w:tcPr>
          <w:p>
            <w:pPr>
              <w:jc w:val="left"/>
              <w:rPr>
                <w:rFonts w:ascii="仿宋_GB2312" w:hAnsi="宋体" w:eastAsia="仿宋_GB2312"/>
                <w:color w:val="000000" w:themeColor="text1"/>
                <w:szCs w:val="21"/>
              </w:rPr>
            </w:pPr>
          </w:p>
        </w:tc>
      </w:tr>
    </w:tbl>
    <w:p>
      <w:pPr>
        <w:spacing w:line="500" w:lineRule="exact"/>
        <w:jc w:val="left"/>
        <w:rPr>
          <w:rFonts w:ascii="仿宋_GB2312" w:hAnsi="仿宋_GB2312" w:eastAsia="仿宋_GB2312" w:cs="仿宋_GB2312"/>
          <w:color w:val="000000" w:themeColor="text1"/>
          <w:sz w:val="28"/>
          <w:szCs w:val="28"/>
        </w:rPr>
      </w:pPr>
    </w:p>
    <w:sectPr>
      <w:headerReference r:id="rId14" w:type="default"/>
      <w:footerReference r:id="rId15" w:type="default"/>
      <w:pgSz w:w="11850" w:h="16838"/>
      <w:pgMar w:top="1985" w:right="1588"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10002FF" w:usb1="4000ACFF" w:usb2="00000009" w:usb3="00000000" w:csb0="2000019F" w:csb1="00000000"/>
  </w:font>
  <w:font w:name="Lohit Hindi">
    <w:altName w:val="汉仪叶叶相思体简"/>
    <w:panose1 w:val="00000000000000000000"/>
    <w:charset w:val="00"/>
    <w:family w:val="roman"/>
    <w:pitch w:val="default"/>
    <w:sig w:usb0="00000000"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宋体S-超大字符集">
    <w:panose1 w:val="02000000000000000000"/>
    <w:charset w:val="86"/>
    <w:family w:val="auto"/>
    <w:pitch w:val="default"/>
    <w:sig w:usb0="00000001" w:usb1="08000000" w:usb2="00000000" w:usb3="00000000" w:csb0="00040000" w:csb1="00000000"/>
  </w:font>
  <w:font w:name="汉仪叶叶相思体简">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path/>
          <v:fill on="f" focussize="0,0"/>
          <v:stroke on="f" weight="0.5pt" joinstyle="miter"/>
          <v:imagedata o:title=""/>
          <o:lock v:ext="edit"/>
          <v:textbox inset="0mm,0mm,0mm,0mm" style="mso-fit-shape-to-text:t;">
            <w:txbxContent>
              <w:p>
                <w:pPr>
                  <w:pStyle w:val="4"/>
                  <w:rPr>
                    <w:rFonts w:ascii="仿宋_GB2312" w:hAnsi="仿宋_GB2312" w:eastAsia="仿宋_GB2312" w:cs="仿宋_GB2312"/>
                    <w:sz w:val="24"/>
                    <w:szCs w:val="24"/>
                  </w:rPr>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ascii="仿宋_GB2312" w:hAnsi="仿宋_GB2312" w:eastAsia="仿宋_GB2312" w:cs="仿宋_GB2312"/>
                    <w:sz w:val="24"/>
                    <w:szCs w:val="24"/>
                  </w:rPr>
                  <w:t>- 11 -</w:t>
                </w:r>
                <w:r>
                  <w:rPr>
                    <w:rFonts w:hint="eastAsia" w:ascii="仿宋_GB2312" w:hAnsi="仿宋_GB2312" w:eastAsia="仿宋_GB2312" w:cs="仿宋_GB2312"/>
                    <w:sz w:val="24"/>
                    <w:szCs w:val="24"/>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pict>
        <v:shape id="_x0000_s1038" o:spid="_x0000_s1038" o:spt="202" type="#_x0000_t202" style="position:absolute;left:0pt;margin-top:0pt;height:144pt;width:144pt;mso-position-horizontal:center;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path/>
          <v:fill on="f" focussize="0,0"/>
          <v:stroke on="f" weight="0.5pt" joinstyle="miter"/>
          <v:imagedata o:title=""/>
          <o:lock v:ext="edit"/>
          <v:textbox inset="0mm,0mm,0mm,0mm" style="mso-fit-shape-to-text:t;">
            <w:txbxContent>
              <w:p>
                <w:pPr>
                  <w:pStyle w:val="4"/>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ascii="仿宋_GB2312" w:hAnsi="仿宋_GB2312" w:eastAsia="仿宋_GB2312" w:cs="仿宋_GB2312"/>
                    <w:sz w:val="24"/>
                    <w:szCs w:val="24"/>
                  </w:rPr>
                  <w:t>- 18 -</w:t>
                </w:r>
                <w:r>
                  <w:rPr>
                    <w:rFonts w:hint="eastAsia" w:ascii="仿宋_GB2312" w:hAnsi="仿宋_GB2312" w:eastAsia="仿宋_GB2312" w:cs="仿宋_GB2312"/>
                    <w:sz w:val="24"/>
                    <w:szCs w:val="24"/>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13"/>
      </w:rPr>
    </w:pPr>
    <w:r>
      <w:rPr>
        <w:rStyle w:val="13"/>
      </w:rPr>
      <w:fldChar w:fldCharType="begin"/>
    </w:r>
    <w:r>
      <w:rPr>
        <w:rStyle w:val="13"/>
      </w:rPr>
      <w:instrText xml:space="preserve">PAGE  </w:instrText>
    </w:r>
    <w:r>
      <w:rPr>
        <w:rStyle w:val="13"/>
      </w:rPr>
      <w:fldChar w:fldCharType="end"/>
    </w:r>
  </w:p>
  <w:p>
    <w:pPr>
      <w:pStyle w:val="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kern w:val="0"/>
        <w:sz w:val="20"/>
        <w:szCs w:val="20"/>
      </w:rPr>
    </w:pPr>
    <w:r>
      <w:rPr>
        <w:sz w:val="20"/>
      </w:rPr>
      <w:pict>
        <v:shape id="_x0000_s1039" o:spid="_x0000_s1039" o:spt="202" type="#_x0000_t202" style="position:absolute;left:0pt;margin-top:0pt;height:144pt;width:144pt;mso-position-horizontal:center;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path/>
          <v:fill on="f" focussize="0,0"/>
          <v:stroke on="f" weight="0.5pt" joinstyle="miter"/>
          <v:imagedata o:title=""/>
          <o:lock v:ext="edit"/>
          <v:textbox inset="0mm,0mm,0mm,0mm" style="mso-fit-shape-to-text:t;">
            <w:txbxContent>
              <w:p>
                <w:pPr>
                  <w:pStyle w:val="4"/>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ascii="仿宋_GB2312" w:hAnsi="仿宋_GB2312" w:eastAsia="仿宋_GB2312" w:cs="仿宋_GB2312"/>
                    <w:sz w:val="24"/>
                    <w:szCs w:val="24"/>
                  </w:rPr>
                  <w:t>- 28 -</w:t>
                </w:r>
                <w:r>
                  <w:rPr>
                    <w:rFonts w:hint="eastAsia" w:ascii="仿宋_GB2312" w:hAnsi="仿宋_GB2312" w:eastAsia="仿宋_GB2312" w:cs="仿宋_GB2312"/>
                    <w:sz w:val="24"/>
                    <w:szCs w:val="24"/>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Times New Roman" w:hAnsi="Times New Roman" w:eastAsia="宋体" w:cs="Times New Roman"/>
        <w:sz w:val="18"/>
        <w:szCs w:val="18"/>
      </w:rPr>
    </w:pPr>
    <w:r>
      <w:rPr>
        <w:sz w:val="18"/>
      </w:rPr>
      <w:pict>
        <v:shape id="_x0000_s1040" o:spid="_x0000_s1040" o:spt="202" type="#_x0000_t202" style="position:absolute;left:0pt;margin-top:0pt;height:144pt;width:144pt;mso-position-horizontal:center;mso-position-horizontal-relative:margin;mso-wrap-style:none;z-index:25167052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path/>
          <v:fill on="f" focussize="0,0"/>
          <v:stroke on="f" weight="0.5pt" joinstyle="miter"/>
          <v:imagedata o:title=""/>
          <o:lock v:ext="edit"/>
          <v:textbox inset="0mm,0mm,0mm,0mm" style="mso-fit-shape-to-text:t;">
            <w:txbxContent>
              <w:p>
                <w:pPr>
                  <w:snapToGrid w:val="0"/>
                  <w:jc w:val="left"/>
                  <w:rPr>
                    <w:rStyle w:val="13"/>
                    <w:rFonts w:ascii="Times New Roman" w:hAnsi="Times New Roman" w:eastAsia="宋体" w:cs="Times New Roman"/>
                    <w:sz w:val="18"/>
                    <w:szCs w:val="18"/>
                  </w:rPr>
                </w:pPr>
                <w:r>
                  <w:rPr>
                    <w:rStyle w:val="13"/>
                    <w:rFonts w:hint="eastAsia" w:ascii="仿宋_GB2312" w:hAnsi="仿宋_GB2312" w:eastAsia="仿宋_GB2312" w:cs="仿宋_GB2312"/>
                    <w:sz w:val="24"/>
                  </w:rPr>
                  <w:fldChar w:fldCharType="begin"/>
                </w:r>
                <w:r>
                  <w:rPr>
                    <w:rStyle w:val="13"/>
                    <w:rFonts w:hint="eastAsia" w:ascii="仿宋_GB2312" w:hAnsi="仿宋_GB2312" w:eastAsia="仿宋_GB2312" w:cs="仿宋_GB2312"/>
                    <w:sz w:val="24"/>
                  </w:rPr>
                  <w:instrText xml:space="preserve">PAGE  </w:instrText>
                </w:r>
                <w:r>
                  <w:rPr>
                    <w:rStyle w:val="13"/>
                    <w:rFonts w:hint="eastAsia" w:ascii="仿宋_GB2312" w:hAnsi="仿宋_GB2312" w:eastAsia="仿宋_GB2312" w:cs="仿宋_GB2312"/>
                    <w:sz w:val="24"/>
                  </w:rPr>
                  <w:fldChar w:fldCharType="separate"/>
                </w:r>
                <w:r>
                  <w:rPr>
                    <w:rStyle w:val="13"/>
                    <w:rFonts w:ascii="仿宋_GB2312" w:hAnsi="仿宋_GB2312" w:eastAsia="仿宋_GB2312" w:cs="仿宋_GB2312"/>
                    <w:sz w:val="24"/>
                  </w:rPr>
                  <w:t>- 44 -</w:t>
                </w:r>
                <w:r>
                  <w:rPr>
                    <w:rStyle w:val="13"/>
                    <w:rFonts w:hint="eastAsia" w:ascii="仿宋_GB2312" w:hAnsi="仿宋_GB2312" w:eastAsia="仿宋_GB2312" w:cs="仿宋_GB2312"/>
                    <w:sz w:val="24"/>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snapToGrid w:val="0"/>
      <w:jc w:val="left"/>
      <w:rPr>
        <w:rStyle w:val="13"/>
        <w:rFonts w:ascii="Times New Roman" w:hAnsi="Times New Roman" w:eastAsia="宋体" w:cs="Times New Roman"/>
        <w:sz w:val="18"/>
        <w:szCs w:val="18"/>
      </w:rPr>
    </w:pPr>
    <w:r>
      <w:rPr>
        <w:rStyle w:val="13"/>
        <w:rFonts w:ascii="Times New Roman" w:hAnsi="Times New Roman" w:eastAsia="宋体" w:cs="Times New Roman"/>
        <w:sz w:val="18"/>
        <w:szCs w:val="18"/>
      </w:rPr>
      <w:fldChar w:fldCharType="begin"/>
    </w:r>
    <w:r>
      <w:rPr>
        <w:rStyle w:val="13"/>
        <w:rFonts w:ascii="Times New Roman" w:hAnsi="Times New Roman" w:eastAsia="宋体" w:cs="Times New Roman"/>
        <w:sz w:val="18"/>
        <w:szCs w:val="18"/>
      </w:rPr>
      <w:instrText xml:space="preserve">PAGE  </w:instrText>
    </w:r>
    <w:r>
      <w:rPr>
        <w:rStyle w:val="13"/>
        <w:rFonts w:ascii="Times New Roman" w:hAnsi="Times New Roman" w:eastAsia="宋体" w:cs="Times New Roman"/>
        <w:sz w:val="18"/>
        <w:szCs w:val="18"/>
      </w:rPr>
      <w:fldChar w:fldCharType="end"/>
    </w:r>
  </w:p>
  <w:p>
    <w:pPr>
      <w:snapToGrid w:val="0"/>
      <w:jc w:val="left"/>
      <w:rPr>
        <w:rFonts w:ascii="Times New Roman" w:hAnsi="Times New Roman" w:eastAsia="宋体" w:cs="Times New Roman"/>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Times New Roman" w:hAnsi="Times New Roman" w:eastAsia="宋体" w:cs="Times New Roman"/>
        <w:sz w:val="18"/>
        <w:szCs w:val="18"/>
      </w:rPr>
    </w:pPr>
    <w:r>
      <w:rPr>
        <w:sz w:val="18"/>
      </w:rPr>
      <w:pict>
        <v:shape id="_x0000_s1041" o:spid="_x0000_s1041" o:spt="202" type="#_x0000_t202" style="position:absolute;left:0pt;margin-top:0pt;height:144pt;width:144pt;mso-position-horizontal:center;mso-position-horizontal-relative:margin;mso-wrap-style:none;z-index:25167155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8TPSHQIAACkEAAAOAAAAZHJz&#10;L2Uyb0RvYy54bWytU82O0zAQviPxDpbvNGlRV1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9eT/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IDxM9IdAgAAKQQAAA4AAAAAAAAAAQAgAAAANQEAAGRycy9lMm9Eb2MueG1sUEsF&#10;BgAAAAAGAAYAWQEAAMQFAAAAAA==&#10;">
          <v:path/>
          <v:fill on="f" focussize="0,0"/>
          <v:stroke on="f" weight="0.5pt" joinstyle="miter"/>
          <v:imagedata o:title=""/>
          <o:lock v:ext="edit"/>
          <v:textbox inset="0mm,0mm,0mm,0mm" style="mso-fit-shape-to-text:t;">
            <w:txbxContent>
              <w:p>
                <w:pPr>
                  <w:snapToGrid w:val="0"/>
                  <w:jc w:val="left"/>
                  <w:rPr>
                    <w:rStyle w:val="13"/>
                    <w:rFonts w:ascii="Times New Roman" w:hAnsi="Times New Roman" w:eastAsia="宋体" w:cs="Times New Roman"/>
                    <w:sz w:val="18"/>
                    <w:szCs w:val="18"/>
                  </w:rPr>
                </w:pPr>
                <w:r>
                  <w:rPr>
                    <w:rStyle w:val="13"/>
                    <w:rFonts w:ascii="Times New Roman" w:hAnsi="Times New Roman" w:eastAsia="宋体" w:cs="Times New Roman"/>
                    <w:sz w:val="18"/>
                    <w:szCs w:val="18"/>
                  </w:rPr>
                  <w:fldChar w:fldCharType="begin"/>
                </w:r>
                <w:r>
                  <w:rPr>
                    <w:rStyle w:val="13"/>
                    <w:rFonts w:ascii="Times New Roman" w:hAnsi="Times New Roman" w:eastAsia="宋体" w:cs="Times New Roman"/>
                    <w:sz w:val="18"/>
                    <w:szCs w:val="18"/>
                  </w:rPr>
                  <w:instrText xml:space="preserve">PAGE  </w:instrText>
                </w:r>
                <w:r>
                  <w:rPr>
                    <w:rStyle w:val="13"/>
                    <w:rFonts w:ascii="Times New Roman" w:hAnsi="Times New Roman" w:eastAsia="宋体" w:cs="Times New Roman"/>
                    <w:sz w:val="18"/>
                    <w:szCs w:val="18"/>
                  </w:rPr>
                  <w:fldChar w:fldCharType="separate"/>
                </w:r>
                <w:r>
                  <w:rPr>
                    <w:rStyle w:val="13"/>
                    <w:rFonts w:ascii="Times New Roman" w:hAnsi="Times New Roman" w:eastAsia="宋体" w:cs="Times New Roman"/>
                    <w:sz w:val="18"/>
                    <w:szCs w:val="18"/>
                  </w:rPr>
                  <w:t>- 45 -</w:t>
                </w:r>
                <w:r>
                  <w:rPr>
                    <w:rStyle w:val="13"/>
                    <w:rFonts w:ascii="Times New Roman" w:hAnsi="Times New Roman" w:eastAsia="宋体" w:cs="Times New Roman"/>
                    <w:sz w:val="18"/>
                    <w:szCs w:val="18"/>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Calibri" w:hAnsi="Calibri" w:eastAsia="宋体" w:cs="Times New Roman"/>
        <w:sz w:val="18"/>
        <w:szCs w:val="18"/>
      </w:rPr>
    </w:pPr>
    <w:r>
      <w:rPr>
        <w:sz w:val="18"/>
      </w:rPr>
      <w:pict>
        <v:shape id="_x0000_s1042" o:spid="_x0000_s1042" o:spt="202" type="#_x0000_t202" style="position:absolute;left:0pt;margin-top:0pt;height:144pt;width:144pt;mso-position-horizontal:center;mso-position-horizontal-relative:margin;mso-wrap-style:none;z-index:25167257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path/>
          <v:fill on="f" focussize="0,0"/>
          <v:stroke on="f" weight="0.5pt" joinstyle="miter"/>
          <v:imagedata o:title=""/>
          <o:lock v:ext="edit"/>
          <v:textbox inset="0mm,0mm,0mm,0mm" style="mso-fit-shape-to-text:t;">
            <w:txbxContent>
              <w:p>
                <w:pPr>
                  <w:pStyle w:val="4"/>
                </w:pPr>
                <w:r>
                  <w:fldChar w:fldCharType="begin"/>
                </w:r>
                <w:r>
                  <w:instrText xml:space="preserve"> PAGE  \* MERGEFORMAT </w:instrText>
                </w:r>
                <w:r>
                  <w:fldChar w:fldCharType="separate"/>
                </w:r>
                <w:r>
                  <w:t>- 56 -</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Calibri" w:hAnsi="Calibri" w:eastAsia="宋体" w:cs="Times New Roman"/>
        <w:sz w:val="18"/>
        <w:szCs w:val="18"/>
      </w:rPr>
    </w:pPr>
    <w:r>
      <w:rPr>
        <w:sz w:val="18"/>
      </w:rPr>
      <w:pict>
        <v:shape id="_x0000_s1027" o:spid="_x0000_s1027"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path/>
          <v:fill on="f" focussize="0,0"/>
          <v:stroke on="f" weight="0.5pt" joinstyle="miter"/>
          <v:imagedata o:title=""/>
          <o:lock v:ext="edit"/>
          <v:textbox inset="0mm,0mm,0mm,0mm" style="mso-fit-shape-to-text:t;">
            <w:txbxContent>
              <w:p>
                <w:pPr>
                  <w:pStyle w:val="4"/>
                </w:pPr>
                <w:r>
                  <w:fldChar w:fldCharType="begin"/>
                </w:r>
                <w:r>
                  <w:instrText xml:space="preserve"> PAGE  \* MERGEFORMAT </w:instrText>
                </w:r>
                <w:r>
                  <w:fldChar w:fldCharType="separate"/>
                </w:r>
                <w:r>
                  <w:t>- 68 -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kern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Calibri" w:hAnsi="Calibri" w:eastAsia="宋体" w:cs="Times New Roman"/>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Calibri" w:hAnsi="Calibri" w:eastAsia="宋体" w:cs="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hideSpellingErrors/>
  <w:documentProtection w:enforcement="0"/>
  <w:defaultTabStop w:val="420"/>
  <w:drawingGridVerticalSpacing w:val="156"/>
  <w:noPunctuationKerning w:val="true"/>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E67DCEF8"/>
    <w:rsid w:val="00083966"/>
    <w:rsid w:val="001632DA"/>
    <w:rsid w:val="00185645"/>
    <w:rsid w:val="001D4EAF"/>
    <w:rsid w:val="001F7EA3"/>
    <w:rsid w:val="002053EE"/>
    <w:rsid w:val="00244DDB"/>
    <w:rsid w:val="00246002"/>
    <w:rsid w:val="00246CFC"/>
    <w:rsid w:val="00276E39"/>
    <w:rsid w:val="00280400"/>
    <w:rsid w:val="002C5DFD"/>
    <w:rsid w:val="002D1763"/>
    <w:rsid w:val="002F5DE3"/>
    <w:rsid w:val="0034547C"/>
    <w:rsid w:val="00377192"/>
    <w:rsid w:val="00390C46"/>
    <w:rsid w:val="00441482"/>
    <w:rsid w:val="004722B7"/>
    <w:rsid w:val="00497A44"/>
    <w:rsid w:val="004A0E5B"/>
    <w:rsid w:val="0051183B"/>
    <w:rsid w:val="00582088"/>
    <w:rsid w:val="00675AA0"/>
    <w:rsid w:val="0069322D"/>
    <w:rsid w:val="00741A2B"/>
    <w:rsid w:val="00796651"/>
    <w:rsid w:val="007B7BF5"/>
    <w:rsid w:val="007C4882"/>
    <w:rsid w:val="00834D1C"/>
    <w:rsid w:val="00845833"/>
    <w:rsid w:val="008D7DE5"/>
    <w:rsid w:val="00916B9C"/>
    <w:rsid w:val="00917D8F"/>
    <w:rsid w:val="009A7F7A"/>
    <w:rsid w:val="009D3346"/>
    <w:rsid w:val="009E2D61"/>
    <w:rsid w:val="00A06BA9"/>
    <w:rsid w:val="00B1079C"/>
    <w:rsid w:val="00B27414"/>
    <w:rsid w:val="00BA42D0"/>
    <w:rsid w:val="00BC2DAA"/>
    <w:rsid w:val="00BD2E00"/>
    <w:rsid w:val="00BE157B"/>
    <w:rsid w:val="00BF2AEF"/>
    <w:rsid w:val="00C039E5"/>
    <w:rsid w:val="00CA6E59"/>
    <w:rsid w:val="00D6397A"/>
    <w:rsid w:val="00D91A01"/>
    <w:rsid w:val="00DA67D7"/>
    <w:rsid w:val="00DB7BB6"/>
    <w:rsid w:val="00E654EE"/>
    <w:rsid w:val="00EA62DE"/>
    <w:rsid w:val="00EA7A1F"/>
    <w:rsid w:val="00EC3641"/>
    <w:rsid w:val="00F04808"/>
    <w:rsid w:val="00F60CCB"/>
    <w:rsid w:val="00FC3BBE"/>
    <w:rsid w:val="3CAF69C7"/>
    <w:rsid w:val="3EF65F75"/>
    <w:rsid w:val="3F0DCFE2"/>
    <w:rsid w:val="53F84F46"/>
    <w:rsid w:val="53FC569F"/>
    <w:rsid w:val="557D49EE"/>
    <w:rsid w:val="5CFDAFCF"/>
    <w:rsid w:val="6AEB910B"/>
    <w:rsid w:val="77FFE67C"/>
    <w:rsid w:val="7F5F8A51"/>
    <w:rsid w:val="7FB3C1B8"/>
    <w:rsid w:val="967AF23D"/>
    <w:rsid w:val="DDFDD3DE"/>
    <w:rsid w:val="E67DCEF8"/>
    <w:rsid w:val="E7D7740B"/>
    <w:rsid w:val="E9DEF32A"/>
    <w:rsid w:val="F639F0E1"/>
    <w:rsid w:val="F66FAE70"/>
    <w:rsid w:val="FBFF87E1"/>
    <w:rsid w:val="FC8FB955"/>
    <w:rsid w:val="FDFFE12C"/>
    <w:rsid w:val="FF2F5B65"/>
    <w:rsid w:val="FFF347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after="120"/>
      <w:ind w:left="200" w:leftChars="200"/>
    </w:pPr>
    <w:rPr>
      <w:rFonts w:ascii="Times New Roman" w:hAnsi="Times New Roman" w:eastAsia="宋体" w:cs="Times New Roman"/>
    </w:rPr>
  </w:style>
  <w:style w:type="paragraph" w:styleId="4">
    <w:name w:val="footer"/>
    <w:qFormat/>
    <w:uiPriority w:val="0"/>
    <w:pPr>
      <w:widowControl w:val="0"/>
      <w:tabs>
        <w:tab w:val="center" w:pos="4153"/>
        <w:tab w:val="right" w:pos="8306"/>
      </w:tabs>
      <w:snapToGrid w:val="0"/>
    </w:pPr>
    <w:rPr>
      <w:rFonts w:ascii="Times New Roman" w:hAnsi="Times New Roman" w:eastAsia="宋体" w:cs="Times New Roman"/>
      <w:kern w:val="2"/>
      <w:sz w:val="18"/>
      <w:szCs w:val="18"/>
      <w:lang w:val="en-US" w:eastAsia="zh-CN" w:bidi="ar-SA"/>
    </w:rPr>
  </w:style>
  <w:style w:type="paragraph" w:styleId="5">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List"/>
    <w:basedOn w:val="1"/>
    <w:qFormat/>
    <w:uiPriority w:val="0"/>
    <w:pPr>
      <w:widowControl/>
      <w:suppressAutoHyphens/>
      <w:jc w:val="left"/>
    </w:pPr>
    <w:rPr>
      <w:rFonts w:cs="Lohit Hindi"/>
      <w:kern w:val="1"/>
      <w:lang w:eastAsia="ar-SA"/>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9">
    <w:name w:val="Body Text First Indent 2"/>
    <w:basedOn w:val="3"/>
    <w:next w:val="6"/>
    <w:qFormat/>
    <w:uiPriority w:val="0"/>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qFormat/>
    <w:uiPriority w:val="0"/>
  </w:style>
  <w:style w:type="character" w:styleId="14">
    <w:name w:val="Hyperlink"/>
    <w:basedOn w:val="12"/>
    <w:qFormat/>
    <w:uiPriority w:val="0"/>
    <w:rPr>
      <w:color w:val="0000FF"/>
      <w:u w:val="single"/>
    </w:rPr>
  </w:style>
  <w:style w:type="paragraph" w:customStyle="1" w:styleId="15">
    <w:name w:val="正文 + 小四"/>
    <w:link w:val="16"/>
    <w:qFormat/>
    <w:uiPriority w:val="0"/>
    <w:pPr>
      <w:widowControl w:val="0"/>
      <w:autoSpaceDE w:val="0"/>
      <w:autoSpaceDN w:val="0"/>
      <w:spacing w:line="360" w:lineRule="auto"/>
      <w:ind w:firstLine="560"/>
      <w:jc w:val="both"/>
    </w:pPr>
    <w:rPr>
      <w:rFonts w:ascii="Times New Roman" w:hAnsi="Times New Roman" w:eastAsia="宋体" w:cs="Times New Roman"/>
      <w:kern w:val="2"/>
      <w:sz w:val="24"/>
      <w:szCs w:val="24"/>
      <w:lang w:val="zh-CN" w:eastAsia="zh-CN" w:bidi="ar-SA"/>
    </w:rPr>
  </w:style>
  <w:style w:type="character" w:customStyle="1" w:styleId="16">
    <w:name w:val="正文 + 小四 Char"/>
    <w:link w:val="15"/>
    <w:qFormat/>
    <w:uiPriority w:val="0"/>
    <w:rPr>
      <w:rFonts w:hint="default"/>
      <w:kern w:val="2"/>
      <w:sz w:val="24"/>
      <w:szCs w:val="24"/>
      <w:lang w:val="zh-CN" w:eastAsia="zh-CN" w:bidi="ar-SA"/>
    </w:rPr>
  </w:style>
  <w:style w:type="paragraph" w:styleId="17">
    <w:name w:val="List Paragraph"/>
    <w:basedOn w:val="1"/>
    <w:unhideWhenUsed/>
    <w:qFormat/>
    <w:uiPriority w:val="99"/>
    <w:pPr>
      <w:ind w:firstLine="420" w:firstLineChars="200"/>
    </w:pPr>
    <w:rPr>
      <w:rFonts w:ascii="Calibri" w:hAnsi="Calibri" w:eastAsia="宋体" w:cs="Times New Roman"/>
    </w:rPr>
  </w:style>
  <w:style w:type="character" w:customStyle="1" w:styleId="18">
    <w:name w:val="标题 1 Char"/>
    <w:basedOn w:val="12"/>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38"/>
    <customShpInfo spid="_x0000_s1039"/>
    <customShpInfo spid="_x0000_s1040"/>
    <customShpInfo spid="_x0000_s1041"/>
    <customShpInfo spid="_x0000_s1042"/>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6345</Words>
  <Characters>36173</Characters>
  <Lines>301</Lines>
  <Paragraphs>84</Paragraphs>
  <TotalTime>31</TotalTime>
  <ScaleCrop>false</ScaleCrop>
  <LinksUpToDate>false</LinksUpToDate>
  <CharactersWithSpaces>42434</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2023-10-17T00:14:00Z</dcterms:created>
  <dc:creator>kylin</dc:creator>
  <cp:lastModifiedBy>sugon</cp:lastModifiedBy>
  <cp:lastPrinted>2023-10-25T18:50:00Z</cp:lastPrinted>
  <dcterms:modified xsi:type="dcterms:W3CDTF">2023-10-25T17:22:53Z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